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2E4C" w14:textId="7C1A420C" w:rsidR="00E51F65" w:rsidRDefault="00E51F65" w:rsidP="00EE1263">
      <w:pPr>
        <w:spacing w:after="120"/>
        <w:rPr>
          <w:rFonts w:cstheme="minorHAnsi"/>
        </w:rPr>
      </w:pPr>
    </w:p>
    <w:p w14:paraId="1664B0D6" w14:textId="77777777" w:rsidR="00D77EE5" w:rsidRPr="00EE1263" w:rsidRDefault="00D77EE5" w:rsidP="00EE1263">
      <w:pPr>
        <w:spacing w:after="120"/>
        <w:rPr>
          <w:rFonts w:cstheme="minorHAnsi"/>
        </w:rPr>
      </w:pPr>
    </w:p>
    <w:p w14:paraId="5245D252" w14:textId="77777777" w:rsidR="00762805" w:rsidRPr="00EE1263" w:rsidRDefault="00762805" w:rsidP="00EE1263">
      <w:pPr>
        <w:pStyle w:val="Geenafstand"/>
        <w:spacing w:after="120" w:line="259" w:lineRule="auto"/>
        <w:rPr>
          <w:rFonts w:cstheme="minorHAnsi"/>
        </w:rPr>
      </w:pPr>
    </w:p>
    <w:p w14:paraId="64E784A0" w14:textId="54BD385D" w:rsidR="004A6669" w:rsidRPr="00EE1263" w:rsidRDefault="00E51F65" w:rsidP="00EE1263">
      <w:pPr>
        <w:pStyle w:val="Geenafstand"/>
        <w:spacing w:line="259" w:lineRule="auto"/>
        <w:rPr>
          <w:rFonts w:cstheme="minorHAnsi"/>
        </w:rPr>
      </w:pPr>
      <w:r w:rsidRPr="00EE1263">
        <w:rPr>
          <w:rFonts w:cstheme="minorHAnsi"/>
        </w:rPr>
        <w:t>Ministerie van Volksgezondheid, Welzijn en Sport</w:t>
      </w:r>
    </w:p>
    <w:p w14:paraId="52474A80" w14:textId="7A2821D9" w:rsidR="004A6669" w:rsidRPr="00EE1263" w:rsidRDefault="00E51F65" w:rsidP="00EE1263">
      <w:pPr>
        <w:pStyle w:val="Geenafstand"/>
        <w:spacing w:line="259" w:lineRule="auto"/>
        <w:rPr>
          <w:rFonts w:cstheme="minorHAnsi"/>
        </w:rPr>
      </w:pPr>
      <w:r w:rsidRPr="00EE1263">
        <w:rPr>
          <w:rFonts w:cstheme="minorHAnsi"/>
        </w:rPr>
        <w:t>Postbus 20350</w:t>
      </w:r>
    </w:p>
    <w:p w14:paraId="1398682A" w14:textId="13698606" w:rsidR="00E51F65" w:rsidRPr="00EE1263" w:rsidRDefault="00E51F65" w:rsidP="00EE1263">
      <w:pPr>
        <w:pStyle w:val="Geenafstand"/>
        <w:spacing w:line="259" w:lineRule="auto"/>
        <w:rPr>
          <w:rFonts w:cstheme="minorHAnsi"/>
        </w:rPr>
      </w:pPr>
      <w:r w:rsidRPr="00EE1263">
        <w:rPr>
          <w:rFonts w:cstheme="minorHAnsi"/>
        </w:rPr>
        <w:t>2500 EJ Den Haag</w:t>
      </w:r>
    </w:p>
    <w:p w14:paraId="3B879007" w14:textId="40196797" w:rsidR="00E51F65" w:rsidRPr="00EE1263" w:rsidRDefault="00E51F65" w:rsidP="00EE1263">
      <w:pPr>
        <w:spacing w:after="120"/>
        <w:rPr>
          <w:rFonts w:cstheme="minorHAnsi"/>
        </w:rPr>
      </w:pPr>
    </w:p>
    <w:p w14:paraId="29A7F069" w14:textId="39D39841" w:rsidR="00A43E6B" w:rsidRPr="00EE1263" w:rsidRDefault="00A43E6B" w:rsidP="00EE1263">
      <w:pPr>
        <w:spacing w:after="120"/>
        <w:rPr>
          <w:rFonts w:cstheme="minorHAnsi"/>
          <w:i/>
        </w:rPr>
      </w:pPr>
      <w:r w:rsidRPr="00EE1263">
        <w:rPr>
          <w:rFonts w:cstheme="minorHAnsi"/>
          <w:i/>
        </w:rPr>
        <w:t xml:space="preserve">Per email aan: </w:t>
      </w:r>
      <w:r w:rsidR="00D77EE5" w:rsidRPr="00D77EE5">
        <w:rPr>
          <w:rFonts w:cstheme="minorHAnsi"/>
          <w:i/>
        </w:rPr>
        <w:t>jm.vd.kamp@minvws.nl</w:t>
      </w:r>
      <w:r w:rsidR="00D77EE5">
        <w:rPr>
          <w:rFonts w:cstheme="minorHAnsi"/>
          <w:i/>
        </w:rPr>
        <w:t xml:space="preserve">; </w:t>
      </w:r>
      <w:r w:rsidR="00D77EE5" w:rsidRPr="00D77EE5">
        <w:rPr>
          <w:rFonts w:cstheme="minorHAnsi"/>
          <w:i/>
        </w:rPr>
        <w:t>dienstpostbusROW@minvws.nl</w:t>
      </w:r>
    </w:p>
    <w:p w14:paraId="6D1FEF67" w14:textId="77777777" w:rsidR="00E51F65" w:rsidRPr="00EE1263" w:rsidRDefault="00E51F65" w:rsidP="00EE1263">
      <w:pPr>
        <w:spacing w:after="120"/>
        <w:rPr>
          <w:rFonts w:cstheme="minorHAnsi"/>
          <w:b/>
          <w:bCs/>
        </w:rPr>
      </w:pPr>
    </w:p>
    <w:p w14:paraId="720804BA" w14:textId="4DC8FF15" w:rsidR="00E51F65" w:rsidRPr="00EE1263" w:rsidRDefault="00E51F65" w:rsidP="00EE1263">
      <w:pPr>
        <w:spacing w:after="120"/>
        <w:rPr>
          <w:rFonts w:cstheme="minorHAnsi"/>
          <w:b/>
          <w:bCs/>
        </w:rPr>
      </w:pPr>
      <w:r w:rsidRPr="00EE1263">
        <w:rPr>
          <w:rFonts w:cstheme="minorHAnsi"/>
          <w:b/>
          <w:bCs/>
        </w:rPr>
        <w:t>Betreft:</w:t>
      </w:r>
      <w:r w:rsidR="00A6247A" w:rsidRPr="00EE1263">
        <w:rPr>
          <w:rFonts w:cstheme="minorHAnsi"/>
          <w:b/>
          <w:bCs/>
        </w:rPr>
        <w:tab/>
      </w:r>
      <w:r w:rsidR="006E0ECA">
        <w:rPr>
          <w:rFonts w:cstheme="minorHAnsi"/>
          <w:b/>
          <w:bCs/>
        </w:rPr>
        <w:t xml:space="preserve"> </w:t>
      </w:r>
      <w:r w:rsidR="00D77EE5">
        <w:rPr>
          <w:rFonts w:cstheme="minorHAnsi"/>
          <w:b/>
          <w:bCs/>
        </w:rPr>
        <w:t>reactie t.a.v. concept Warenwetregeling attractie- en speeltoestellen</w:t>
      </w:r>
    </w:p>
    <w:p w14:paraId="3B8646D6" w14:textId="77777777" w:rsidR="00E51F65" w:rsidRPr="00EE1263" w:rsidRDefault="00E51F65" w:rsidP="00EE1263">
      <w:pPr>
        <w:spacing w:after="120"/>
        <w:rPr>
          <w:rFonts w:cstheme="minorHAnsi"/>
        </w:rPr>
      </w:pPr>
    </w:p>
    <w:p w14:paraId="2EFBA15A" w14:textId="7C692BE7" w:rsidR="00E51F65" w:rsidRPr="00EE1263" w:rsidRDefault="00E51F65" w:rsidP="00EE1263">
      <w:pPr>
        <w:spacing w:after="120"/>
        <w:rPr>
          <w:rFonts w:cstheme="minorHAnsi"/>
        </w:rPr>
      </w:pPr>
      <w:r w:rsidRPr="00EE1263">
        <w:rPr>
          <w:rFonts w:cstheme="minorHAnsi"/>
        </w:rPr>
        <w:t xml:space="preserve">Leusden, </w:t>
      </w:r>
      <w:r w:rsidR="00D77EE5">
        <w:rPr>
          <w:rFonts w:cstheme="minorHAnsi"/>
        </w:rPr>
        <w:t>23</w:t>
      </w:r>
      <w:r w:rsidR="00A46332" w:rsidRPr="00EE1263">
        <w:rPr>
          <w:rFonts w:cstheme="minorHAnsi"/>
        </w:rPr>
        <w:t>.</w:t>
      </w:r>
      <w:r w:rsidR="00D77EE5">
        <w:rPr>
          <w:rFonts w:cstheme="minorHAnsi"/>
        </w:rPr>
        <w:t>03</w:t>
      </w:r>
      <w:r w:rsidR="00A46332" w:rsidRPr="00EE1263">
        <w:rPr>
          <w:rFonts w:cstheme="minorHAnsi"/>
        </w:rPr>
        <w:t>.202</w:t>
      </w:r>
      <w:r w:rsidR="00D77EE5">
        <w:rPr>
          <w:rFonts w:cstheme="minorHAnsi"/>
        </w:rPr>
        <w:t>3</w:t>
      </w:r>
    </w:p>
    <w:p w14:paraId="5F3DFAAB" w14:textId="67C65EFD" w:rsidR="00E51F65" w:rsidRPr="00EE1263" w:rsidRDefault="00E51F65" w:rsidP="00EE1263">
      <w:pPr>
        <w:spacing w:after="120"/>
        <w:rPr>
          <w:rFonts w:cstheme="minorHAnsi"/>
        </w:rPr>
      </w:pPr>
    </w:p>
    <w:p w14:paraId="40370D31" w14:textId="3EDD7ED5" w:rsidR="00E51F65" w:rsidRPr="00EE1263" w:rsidRDefault="00E51F65">
      <w:pPr>
        <w:spacing w:after="120"/>
        <w:rPr>
          <w:rFonts w:cstheme="minorHAnsi"/>
        </w:rPr>
      </w:pPr>
      <w:r w:rsidRPr="00EE1263">
        <w:rPr>
          <w:rFonts w:cstheme="minorHAnsi"/>
        </w:rPr>
        <w:t xml:space="preserve">Geachte mevrouw </w:t>
      </w:r>
      <w:r w:rsidR="00D77EE5">
        <w:rPr>
          <w:rFonts w:cstheme="minorHAnsi"/>
        </w:rPr>
        <w:t>De Haas</w:t>
      </w:r>
      <w:r w:rsidR="00564044" w:rsidRPr="00EE1263">
        <w:rPr>
          <w:rFonts w:cstheme="minorHAnsi"/>
        </w:rPr>
        <w:t>,</w:t>
      </w:r>
      <w:r w:rsidR="00D77EE5">
        <w:rPr>
          <w:rFonts w:cstheme="minorHAnsi"/>
        </w:rPr>
        <w:t xml:space="preserve"> geachte mevrouw Van der Kamp</w:t>
      </w:r>
    </w:p>
    <w:p w14:paraId="5A74F968" w14:textId="77777777" w:rsidR="00EE1263" w:rsidRDefault="00EE1263" w:rsidP="00EE1263">
      <w:pPr>
        <w:spacing w:after="120"/>
        <w:rPr>
          <w:rFonts w:cstheme="minorHAnsi"/>
        </w:rPr>
      </w:pPr>
    </w:p>
    <w:p w14:paraId="7D8E95FE" w14:textId="06D06A4D" w:rsidR="00D77EE5" w:rsidRDefault="00A46332" w:rsidP="00EE1263">
      <w:pPr>
        <w:spacing w:after="120"/>
        <w:rPr>
          <w:rFonts w:cstheme="minorHAnsi"/>
        </w:rPr>
      </w:pPr>
      <w:r w:rsidRPr="00EE1263">
        <w:rPr>
          <w:rFonts w:cstheme="minorHAnsi"/>
        </w:rPr>
        <w:t xml:space="preserve">Via deze brief </w:t>
      </w:r>
      <w:r w:rsidR="00D77EE5">
        <w:rPr>
          <w:rFonts w:cstheme="minorHAnsi"/>
        </w:rPr>
        <w:t>reageren wij op het concept van de</w:t>
      </w:r>
      <w:r w:rsidR="00D77EE5" w:rsidRPr="00D77EE5">
        <w:t xml:space="preserve"> </w:t>
      </w:r>
      <w:r w:rsidR="00D77EE5" w:rsidRPr="00D77EE5">
        <w:rPr>
          <w:rFonts w:cstheme="minorHAnsi"/>
        </w:rPr>
        <w:t>Warenwetregeling attractie- en speeltoestellen</w:t>
      </w:r>
      <w:r w:rsidR="00D77EE5">
        <w:rPr>
          <w:rFonts w:cstheme="minorHAnsi"/>
        </w:rPr>
        <w:t xml:space="preserve"> 2023 die ons via het ROW</w:t>
      </w:r>
      <w:r w:rsidR="006E0ECA">
        <w:rPr>
          <w:rFonts w:cstheme="minorHAnsi"/>
        </w:rPr>
        <w:t>-</w:t>
      </w:r>
      <w:r w:rsidR="00D77EE5">
        <w:rPr>
          <w:rFonts w:cstheme="minorHAnsi"/>
        </w:rPr>
        <w:t>overleg is voorgelegd</w:t>
      </w:r>
      <w:r w:rsidRPr="00EE1263">
        <w:rPr>
          <w:rFonts w:cstheme="minorHAnsi"/>
        </w:rPr>
        <w:t xml:space="preserve">. </w:t>
      </w:r>
    </w:p>
    <w:p w14:paraId="2055D34F" w14:textId="5A1759A7" w:rsidR="00A46332" w:rsidRPr="00FB5D49" w:rsidRDefault="00FB5D49" w:rsidP="00EE1263">
      <w:pPr>
        <w:spacing w:after="120"/>
        <w:rPr>
          <w:rFonts w:cstheme="minorHAnsi"/>
          <w:u w:val="single"/>
        </w:rPr>
      </w:pPr>
      <w:r w:rsidRPr="00FB5D49">
        <w:rPr>
          <w:rFonts w:cstheme="minorHAnsi"/>
          <w:b/>
          <w:bCs/>
          <w:u w:val="single"/>
        </w:rPr>
        <w:t>Aangewezen instellingen</w:t>
      </w:r>
      <w:r w:rsidR="00A46332" w:rsidRPr="00FB5D49">
        <w:rPr>
          <w:rFonts w:cstheme="minorHAnsi"/>
          <w:u w:val="single"/>
        </w:rPr>
        <w:t xml:space="preserve">   </w:t>
      </w:r>
    </w:p>
    <w:p w14:paraId="3A498756" w14:textId="5319F4D2" w:rsidR="007E03C8" w:rsidRPr="00403238" w:rsidRDefault="00403238" w:rsidP="007E03C8">
      <w:pPr>
        <w:spacing w:after="120"/>
        <w:rPr>
          <w:rFonts w:cstheme="minorHAnsi"/>
          <w:b/>
          <w:bCs/>
        </w:rPr>
      </w:pPr>
      <w:proofErr w:type="gramStart"/>
      <w:r w:rsidRPr="00403238">
        <w:rPr>
          <w:rFonts w:cstheme="minorHAnsi"/>
          <w:b/>
          <w:bCs/>
        </w:rPr>
        <w:t>Inzake</w:t>
      </w:r>
      <w:proofErr w:type="gramEnd"/>
      <w:r w:rsidRPr="00403238">
        <w:rPr>
          <w:rFonts w:cstheme="minorHAnsi"/>
          <w:b/>
          <w:bCs/>
        </w:rPr>
        <w:t xml:space="preserve"> a</w:t>
      </w:r>
      <w:r w:rsidR="007E03C8" w:rsidRPr="00403238">
        <w:rPr>
          <w:rFonts w:cstheme="minorHAnsi"/>
          <w:b/>
          <w:bCs/>
        </w:rPr>
        <w:t>rtikel 2</w:t>
      </w:r>
      <w:r w:rsidRPr="00403238">
        <w:rPr>
          <w:rFonts w:cstheme="minorHAnsi"/>
          <w:b/>
          <w:bCs/>
        </w:rPr>
        <w:t xml:space="preserve"> - Aangewezen instellingen </w:t>
      </w:r>
    </w:p>
    <w:p w14:paraId="702BB462" w14:textId="427CC3BC" w:rsidR="007E03C8" w:rsidRDefault="007E03C8" w:rsidP="00EE1263">
      <w:pPr>
        <w:spacing w:after="120"/>
        <w:rPr>
          <w:rFonts w:cstheme="minorHAnsi"/>
        </w:rPr>
      </w:pPr>
      <w:r>
        <w:rPr>
          <w:rFonts w:cstheme="minorHAnsi"/>
        </w:rPr>
        <w:t xml:space="preserve">Wij verzoeken om expliciete vastlegging in de regeling dat de </w:t>
      </w:r>
      <w:r w:rsidR="00403238">
        <w:rPr>
          <w:rFonts w:cstheme="minorHAnsi"/>
        </w:rPr>
        <w:t xml:space="preserve">besluiten van een </w:t>
      </w:r>
      <w:r>
        <w:rPr>
          <w:rFonts w:cstheme="minorHAnsi"/>
        </w:rPr>
        <w:t xml:space="preserve">aangewezen </w:t>
      </w:r>
      <w:proofErr w:type="gramStart"/>
      <w:r>
        <w:rPr>
          <w:rFonts w:cstheme="minorHAnsi"/>
        </w:rPr>
        <w:t>instelling</w:t>
      </w:r>
      <w:proofErr w:type="gramEnd"/>
      <w:r>
        <w:rPr>
          <w:rFonts w:cstheme="minorHAnsi"/>
        </w:rPr>
        <w:t xml:space="preserve"> in het kader van het WAS </w:t>
      </w:r>
      <w:r w:rsidR="00403238">
        <w:rPr>
          <w:rFonts w:cstheme="minorHAnsi"/>
        </w:rPr>
        <w:t xml:space="preserve">een besluit zijn in de zin van </w:t>
      </w:r>
      <w:r w:rsidRPr="007E03C8">
        <w:rPr>
          <w:rFonts w:cstheme="minorHAnsi"/>
        </w:rPr>
        <w:t xml:space="preserve">de Algemene </w:t>
      </w:r>
      <w:r w:rsidR="0005429F">
        <w:rPr>
          <w:rFonts w:cstheme="minorHAnsi"/>
        </w:rPr>
        <w:t>w</w:t>
      </w:r>
      <w:r w:rsidRPr="007E03C8">
        <w:rPr>
          <w:rFonts w:cstheme="minorHAnsi"/>
        </w:rPr>
        <w:t xml:space="preserve">et </w:t>
      </w:r>
      <w:r w:rsidR="0005429F">
        <w:rPr>
          <w:rFonts w:cstheme="minorHAnsi"/>
        </w:rPr>
        <w:t>b</w:t>
      </w:r>
      <w:r w:rsidRPr="007E03C8">
        <w:rPr>
          <w:rFonts w:cstheme="minorHAnsi"/>
        </w:rPr>
        <w:t>estuursrecht</w:t>
      </w:r>
      <w:r w:rsidR="00403238">
        <w:rPr>
          <w:rFonts w:cstheme="minorHAnsi"/>
        </w:rPr>
        <w:t xml:space="preserve"> c.q. het bestuursrecht hierop van toepassing is</w:t>
      </w:r>
      <w:r>
        <w:rPr>
          <w:rFonts w:cstheme="minorHAnsi"/>
        </w:rPr>
        <w:t>.</w:t>
      </w:r>
      <w:r w:rsidR="0005429F">
        <w:rPr>
          <w:rFonts w:cstheme="minorHAnsi"/>
        </w:rPr>
        <w:t xml:space="preserve"> Daarmee wordt de positie van de aangewezen instelling verduidelijkt voor alle spelers in de markt alsook wordt voor de aangewezen instellingen verduidelijkt en vastgelegd welke wettelijke plichten rondom de besluitvorming op haar rusten</w:t>
      </w:r>
      <w:r w:rsidR="00403238">
        <w:rPr>
          <w:rFonts w:cstheme="minorHAnsi"/>
        </w:rPr>
        <w:t xml:space="preserve"> en welke bezwaar- en beroepsprocedure er is</w:t>
      </w:r>
      <w:r w:rsidR="0005429F">
        <w:rPr>
          <w:rFonts w:cstheme="minorHAnsi"/>
        </w:rPr>
        <w:t>.</w:t>
      </w:r>
    </w:p>
    <w:p w14:paraId="175069FA" w14:textId="2BABFC84" w:rsidR="0005429F" w:rsidRDefault="007E03C8" w:rsidP="00EE1263">
      <w:pPr>
        <w:spacing w:after="120"/>
        <w:rPr>
          <w:rFonts w:cstheme="minorHAnsi"/>
        </w:rPr>
      </w:pPr>
      <w:proofErr w:type="gramStart"/>
      <w:r>
        <w:rPr>
          <w:rFonts w:cstheme="minorHAnsi"/>
        </w:rPr>
        <w:t>Tevens</w:t>
      </w:r>
      <w:proofErr w:type="gramEnd"/>
      <w:r>
        <w:rPr>
          <w:rFonts w:cstheme="minorHAnsi"/>
        </w:rPr>
        <w:t xml:space="preserve"> verzoeken wij een bepaling op te nemen die </w:t>
      </w:r>
      <w:r w:rsidR="0005429F">
        <w:rPr>
          <w:rFonts w:cstheme="minorHAnsi"/>
        </w:rPr>
        <w:t>het</w:t>
      </w:r>
      <w:r w:rsidR="00403238">
        <w:rPr>
          <w:rFonts w:cstheme="minorHAnsi"/>
        </w:rPr>
        <w:t xml:space="preserve"> een</w:t>
      </w:r>
      <w:r w:rsidR="0005429F">
        <w:rPr>
          <w:rFonts w:cstheme="minorHAnsi"/>
        </w:rPr>
        <w:t xml:space="preserve"> aangewezen instelling verbiedt om geheimhouding </w:t>
      </w:r>
      <w:r w:rsidR="00ED43D7">
        <w:rPr>
          <w:rFonts w:cstheme="minorHAnsi"/>
        </w:rPr>
        <w:t xml:space="preserve">dan wel een verbod op openbaarmaking </w:t>
      </w:r>
      <w:r w:rsidR="0005429F">
        <w:rPr>
          <w:rFonts w:cstheme="minorHAnsi"/>
        </w:rPr>
        <w:t>te bedingen richting de fabrikanten/beheerders/exploitanten ten aanzien van besluiten en onderliggende keuringsrapporten</w:t>
      </w:r>
      <w:r w:rsidR="00ED43D7">
        <w:rPr>
          <w:rFonts w:cstheme="minorHAnsi"/>
        </w:rPr>
        <w:t xml:space="preserve"> van aangewezen instellingen</w:t>
      </w:r>
      <w:r w:rsidR="0005429F">
        <w:rPr>
          <w:rFonts w:cstheme="minorHAnsi"/>
        </w:rPr>
        <w:t xml:space="preserve">. </w:t>
      </w:r>
      <w:r w:rsidR="00ED43D7">
        <w:rPr>
          <w:rFonts w:cstheme="minorHAnsi"/>
        </w:rPr>
        <w:t>D</w:t>
      </w:r>
      <w:r w:rsidR="0005429F">
        <w:rPr>
          <w:rFonts w:cstheme="minorHAnsi"/>
        </w:rPr>
        <w:t>ergelijk</w:t>
      </w:r>
      <w:r w:rsidR="00ED43D7">
        <w:rPr>
          <w:rFonts w:cstheme="minorHAnsi"/>
        </w:rPr>
        <w:t>e</w:t>
      </w:r>
      <w:r w:rsidR="0005429F">
        <w:rPr>
          <w:rFonts w:cstheme="minorHAnsi"/>
        </w:rPr>
        <w:t xml:space="preserve"> geheimhoudingsbeding</w:t>
      </w:r>
      <w:r w:rsidR="00ED43D7">
        <w:rPr>
          <w:rFonts w:cstheme="minorHAnsi"/>
        </w:rPr>
        <w:t>en</w:t>
      </w:r>
      <w:r w:rsidR="0005429F">
        <w:rPr>
          <w:rFonts w:cstheme="minorHAnsi"/>
        </w:rPr>
        <w:t xml:space="preserve"> </w:t>
      </w:r>
      <w:r w:rsidR="00ED43D7">
        <w:rPr>
          <w:rFonts w:cstheme="minorHAnsi"/>
        </w:rPr>
        <w:t xml:space="preserve">worden althans werden bedongen door op de Nederlandse markt gevestigde aangewezen instellingen. De geheimhoudingsplicht c.q. het verbod op openbaarmaking </w:t>
      </w:r>
      <w:r w:rsidR="0005429F">
        <w:rPr>
          <w:rFonts w:cstheme="minorHAnsi"/>
        </w:rPr>
        <w:t>belemmer</w:t>
      </w:r>
      <w:r w:rsidR="00ED43D7">
        <w:rPr>
          <w:rFonts w:cstheme="minorHAnsi"/>
        </w:rPr>
        <w:t>t</w:t>
      </w:r>
      <w:r w:rsidR="0005429F">
        <w:rPr>
          <w:rFonts w:cstheme="minorHAnsi"/>
        </w:rPr>
        <w:t xml:space="preserve"> onderzoek naar en vergelijking van het functioneren van aangewezen instellingen door de </w:t>
      </w:r>
      <w:r w:rsidR="00ED43D7">
        <w:rPr>
          <w:rFonts w:cstheme="minorHAnsi"/>
        </w:rPr>
        <w:t>markt</w:t>
      </w:r>
      <w:r w:rsidR="0005429F">
        <w:rPr>
          <w:rFonts w:cstheme="minorHAnsi"/>
        </w:rPr>
        <w:t>.</w:t>
      </w:r>
    </w:p>
    <w:p w14:paraId="00031991" w14:textId="6F8DAD97" w:rsidR="00E31CD3" w:rsidRPr="00E31CD3" w:rsidRDefault="00E31CD3" w:rsidP="00EE1263">
      <w:pPr>
        <w:spacing w:after="120"/>
        <w:rPr>
          <w:rFonts w:cstheme="minorHAnsi"/>
          <w:b/>
          <w:bCs/>
        </w:rPr>
      </w:pPr>
      <w:r>
        <w:rPr>
          <w:rFonts w:cstheme="minorHAnsi"/>
          <w:b/>
          <w:bCs/>
        </w:rPr>
        <w:t>Toestelspecifieke competenti</w:t>
      </w:r>
      <w:r w:rsidR="00FB5D49">
        <w:rPr>
          <w:rFonts w:cstheme="minorHAnsi"/>
          <w:b/>
          <w:bCs/>
        </w:rPr>
        <w:t>e</w:t>
      </w:r>
    </w:p>
    <w:p w14:paraId="7107C9E6" w14:textId="6D10946F" w:rsidR="00E31CD3" w:rsidRDefault="00E31CD3" w:rsidP="00EE1263">
      <w:pPr>
        <w:spacing w:after="120"/>
        <w:rPr>
          <w:rFonts w:cstheme="minorHAnsi"/>
        </w:rPr>
      </w:pPr>
      <w:r>
        <w:rPr>
          <w:rFonts w:cstheme="minorHAnsi"/>
        </w:rPr>
        <w:t xml:space="preserve">Om keuringsspecialismen te bevorderen dient het dient mogelijk te zijn dat een aangewezen instelling en/of inspecteur niet voor alle WAS-plichtige toestellen competent en bevoegd is WAS-keuringen te verrichten, maar slechts voor specifieke toestellen. Dit zou moeten blijken uit het </w:t>
      </w:r>
      <w:proofErr w:type="spellStart"/>
      <w:r>
        <w:rPr>
          <w:rFonts w:cstheme="minorHAnsi"/>
        </w:rPr>
        <w:t>aanwijzigingsbesluit</w:t>
      </w:r>
      <w:proofErr w:type="spellEnd"/>
      <w:r>
        <w:rPr>
          <w:rFonts w:cstheme="minorHAnsi"/>
        </w:rPr>
        <w:t xml:space="preserve">. Andersom dienen de generieke keuringsinstellingen ook te worden uitgesloten van keuringen van specifieke toestellen </w:t>
      </w:r>
      <w:proofErr w:type="gramStart"/>
      <w:r>
        <w:rPr>
          <w:rFonts w:cstheme="minorHAnsi"/>
        </w:rPr>
        <w:t>indien</w:t>
      </w:r>
      <w:proofErr w:type="gramEnd"/>
      <w:r>
        <w:rPr>
          <w:rFonts w:cstheme="minorHAnsi"/>
        </w:rPr>
        <w:t xml:space="preserve"> zij niet over voldoende competentie beschikken of </w:t>
      </w:r>
      <w:r>
        <w:rPr>
          <w:rFonts w:cstheme="minorHAnsi"/>
        </w:rPr>
        <w:lastRenderedPageBreak/>
        <w:t>deze competentie verliezen. Ook dit behoort te blijken uit het aanwijzingsbesluit.</w:t>
      </w:r>
      <w:r w:rsidR="00FB5D49">
        <w:rPr>
          <w:rFonts w:cstheme="minorHAnsi"/>
        </w:rPr>
        <w:t xml:space="preserve"> We verzoeken dit expliciet op te nemen in artikel 2.</w:t>
      </w:r>
    </w:p>
    <w:p w14:paraId="33F54693" w14:textId="77777777" w:rsidR="00E31CD3" w:rsidRPr="00227E83" w:rsidRDefault="00E31CD3" w:rsidP="00E31CD3">
      <w:pPr>
        <w:spacing w:after="120"/>
        <w:rPr>
          <w:rFonts w:cstheme="minorHAnsi"/>
          <w:b/>
          <w:bCs/>
        </w:rPr>
      </w:pPr>
      <w:r w:rsidRPr="00227E83">
        <w:rPr>
          <w:rFonts w:cstheme="minorHAnsi"/>
          <w:b/>
          <w:bCs/>
        </w:rPr>
        <w:t>Bijlage I</w:t>
      </w:r>
      <w:r>
        <w:rPr>
          <w:rFonts w:cstheme="minorHAnsi"/>
          <w:b/>
          <w:bCs/>
        </w:rPr>
        <w:t xml:space="preserve"> van de Warenwetregeling</w:t>
      </w:r>
      <w:r w:rsidRPr="00227E83">
        <w:rPr>
          <w:rFonts w:cstheme="minorHAnsi"/>
          <w:b/>
          <w:bCs/>
        </w:rPr>
        <w:t>. Voorwaarden waaraan aangewezen instellingen en onderaannemers moeten voldoen</w:t>
      </w:r>
    </w:p>
    <w:p w14:paraId="63A1498C" w14:textId="77777777" w:rsidR="00E31CD3" w:rsidRDefault="00E31CD3" w:rsidP="00E31CD3">
      <w:pPr>
        <w:autoSpaceDE w:val="0"/>
        <w:autoSpaceDN w:val="0"/>
        <w:adjustRightInd w:val="0"/>
        <w:spacing w:after="120"/>
        <w:rPr>
          <w:rFonts w:cstheme="minorHAnsi"/>
        </w:rPr>
      </w:pPr>
      <w:r>
        <w:rPr>
          <w:rFonts w:cstheme="minorHAnsi"/>
        </w:rPr>
        <w:t>We merken op dat de voorwaarden als benoemd in bijlage I zeer open zijn. Wij verzoeken om nader uit te werken c.q. toe te lichten hoe wordt beoordeeld (door wie, tegen welke maatstaf) of een aangewezen instelling voldoet aan de vereisten. Onder meer is niet duidelijk wat wordt bedoeld met de onder 4.a. benoemde op de keuringswerkzaamheden gerichte technische beroepsopleiding en het onder 4.b. benoemde deskundigheidsniveau.</w:t>
      </w:r>
    </w:p>
    <w:p w14:paraId="3D8F5906" w14:textId="48A4835A" w:rsidR="00E31CD3" w:rsidRDefault="00E31CD3" w:rsidP="00E31CD3">
      <w:pPr>
        <w:autoSpaceDE w:val="0"/>
        <w:autoSpaceDN w:val="0"/>
        <w:adjustRightInd w:val="0"/>
        <w:spacing w:after="120"/>
        <w:rPr>
          <w:rFonts w:cstheme="minorHAnsi"/>
        </w:rPr>
      </w:pPr>
      <w:r>
        <w:rPr>
          <w:rFonts w:cstheme="minorHAnsi"/>
        </w:rPr>
        <w:t>De huidige beschrijving van het deskundigheidsniveau van de aangewezen instelling is onvoldoende uitgewerkt. De praktijk heeft uitgewezen dat de aangewezen instelling</w:t>
      </w:r>
      <w:r w:rsidR="006E0ECA">
        <w:rPr>
          <w:rFonts w:cstheme="minorHAnsi"/>
        </w:rPr>
        <w:t>en</w:t>
      </w:r>
      <w:r>
        <w:rPr>
          <w:rFonts w:cstheme="minorHAnsi"/>
        </w:rPr>
        <w:t xml:space="preserve"> juist regelmatig tekortschieten bij het beoordelen van sporttoestellen die toch als speeltoestel in de zin van het WAS beschouwd worden. Hierdoor blijkt meer dan eens dat het veiligheidsniveau niet verhoogd wordt, en in bepaalde gevallen juist gevaarlijk naar beneden duikelt. Met name bij het beoordelen aan de hand van sporttoestel</w:t>
      </w:r>
      <w:r w:rsidR="006E0ECA">
        <w:rPr>
          <w:rFonts w:cstheme="minorHAnsi"/>
        </w:rPr>
        <w:t>-</w:t>
      </w:r>
      <w:r>
        <w:rPr>
          <w:rFonts w:cstheme="minorHAnsi"/>
        </w:rPr>
        <w:t xml:space="preserve">specifieke normeringen gaat het merendeels fout. Enerzijds omdat de aangewezen instelling te weinig kennis en expertise hebben met specifieke normen, technische richtlijnen en </w:t>
      </w:r>
      <w:r w:rsidRPr="0006099A">
        <w:rPr>
          <w:rFonts w:cstheme="minorHAnsi"/>
          <w:i/>
        </w:rPr>
        <w:t xml:space="preserve">best </w:t>
      </w:r>
      <w:proofErr w:type="spellStart"/>
      <w:r w:rsidRPr="0006099A">
        <w:rPr>
          <w:rFonts w:cstheme="minorHAnsi"/>
          <w:i/>
        </w:rPr>
        <w:t>practises</w:t>
      </w:r>
      <w:proofErr w:type="spellEnd"/>
      <w:r>
        <w:rPr>
          <w:rFonts w:cstheme="minorHAnsi"/>
        </w:rPr>
        <w:t xml:space="preserve"> voor sporttoestellen. Anderzijds omdat aangewezen instelling totaal afwezig zijn bij en in gremia die normen, technische richtlijnen en </w:t>
      </w:r>
      <w:r w:rsidRPr="00022769">
        <w:rPr>
          <w:rFonts w:cstheme="minorHAnsi"/>
          <w:i/>
        </w:rPr>
        <w:t xml:space="preserve">best </w:t>
      </w:r>
      <w:proofErr w:type="spellStart"/>
      <w:r w:rsidRPr="00022769">
        <w:rPr>
          <w:rFonts w:cstheme="minorHAnsi"/>
          <w:i/>
        </w:rPr>
        <w:t>practises</w:t>
      </w:r>
      <w:proofErr w:type="spellEnd"/>
      <w:r>
        <w:rPr>
          <w:rFonts w:cstheme="minorHAnsi"/>
        </w:rPr>
        <w:t xml:space="preserve"> opstellen voor sporttoestellen. </w:t>
      </w:r>
    </w:p>
    <w:p w14:paraId="6B204C03" w14:textId="1B130393" w:rsidR="00766460" w:rsidRDefault="00E31CD3" w:rsidP="00E31CD3">
      <w:pPr>
        <w:spacing w:after="120"/>
        <w:rPr>
          <w:rFonts w:cstheme="minorHAnsi"/>
        </w:rPr>
      </w:pPr>
      <w:r>
        <w:rPr>
          <w:rFonts w:cstheme="minorHAnsi"/>
        </w:rPr>
        <w:t>Kortom, als aangewezen instelling</w:t>
      </w:r>
      <w:r w:rsidR="006E0ECA">
        <w:rPr>
          <w:rFonts w:cstheme="minorHAnsi"/>
        </w:rPr>
        <w:t>en</w:t>
      </w:r>
      <w:r>
        <w:rPr>
          <w:rFonts w:cstheme="minorHAnsi"/>
        </w:rPr>
        <w:t xml:space="preserve"> in het kader van WAS-keuringen beoordelingen doen op basis van sporttoestel</w:t>
      </w:r>
      <w:r w:rsidR="006E0ECA">
        <w:rPr>
          <w:rFonts w:cstheme="minorHAnsi"/>
        </w:rPr>
        <w:t>-</w:t>
      </w:r>
      <w:r>
        <w:rPr>
          <w:rFonts w:cstheme="minorHAnsi"/>
        </w:rPr>
        <w:t xml:space="preserve">specifieke normen, technische richtlijnen en </w:t>
      </w:r>
      <w:r w:rsidRPr="00022769">
        <w:rPr>
          <w:rFonts w:cstheme="minorHAnsi"/>
          <w:i/>
        </w:rPr>
        <w:t xml:space="preserve">best </w:t>
      </w:r>
      <w:proofErr w:type="spellStart"/>
      <w:r w:rsidRPr="00022769">
        <w:rPr>
          <w:rFonts w:cstheme="minorHAnsi"/>
          <w:i/>
        </w:rPr>
        <w:t>practices</w:t>
      </w:r>
      <w:proofErr w:type="spellEnd"/>
      <w:r>
        <w:rPr>
          <w:rFonts w:cstheme="minorHAnsi"/>
        </w:rPr>
        <w:t xml:space="preserve">, dienen er aantoonbaar aanvullende deskundigheids- en ervaringsvereisten aanwezig te zijn. Onder “aantoonbaar” </w:t>
      </w:r>
      <w:proofErr w:type="gramStart"/>
      <w:r>
        <w:rPr>
          <w:rFonts w:cstheme="minorHAnsi"/>
        </w:rPr>
        <w:t>valt  bijvoorbeeld</w:t>
      </w:r>
      <w:proofErr w:type="gramEnd"/>
      <w:r>
        <w:rPr>
          <w:rFonts w:cstheme="minorHAnsi"/>
        </w:rPr>
        <w:t xml:space="preserve"> te denken aan erkenningen en accreditaties van/door sportbonden of industrie</w:t>
      </w:r>
      <w:r w:rsidR="006E0ECA">
        <w:rPr>
          <w:rFonts w:cstheme="minorHAnsi"/>
        </w:rPr>
        <w:t>,</w:t>
      </w:r>
      <w:r>
        <w:rPr>
          <w:rFonts w:cstheme="minorHAnsi"/>
        </w:rPr>
        <w:t xml:space="preserve"> branches, of deelname/zitting hebben in commissies of technische werkgroepen van sporttoestellen norm- en richtlijn-ontwikkeling.</w:t>
      </w:r>
    </w:p>
    <w:p w14:paraId="3793FA26" w14:textId="565D3E36" w:rsidR="00E31CD3" w:rsidRPr="00E31CD3" w:rsidRDefault="00E31CD3" w:rsidP="00E31CD3">
      <w:pPr>
        <w:spacing w:after="120"/>
        <w:rPr>
          <w:rFonts w:cstheme="minorHAnsi"/>
        </w:rPr>
      </w:pPr>
      <w:r>
        <w:rPr>
          <w:rFonts w:cstheme="minorHAnsi"/>
        </w:rPr>
        <w:t>We bevelen</w:t>
      </w:r>
      <w:r w:rsidR="00FB5D49">
        <w:rPr>
          <w:rFonts w:cstheme="minorHAnsi"/>
        </w:rPr>
        <w:t xml:space="preserve"> voorts</w:t>
      </w:r>
      <w:r>
        <w:rPr>
          <w:rFonts w:cstheme="minorHAnsi"/>
        </w:rPr>
        <w:t xml:space="preserve"> aan dat alle aangewezen instellingen zelf een ‘competentielijst’ dienen te publiceren waaruit blijkt voor welke toestellen en normen zij zichzelf competent achten. De NVWA behoort </w:t>
      </w:r>
      <w:proofErr w:type="spellStart"/>
      <w:r>
        <w:rPr>
          <w:rFonts w:cstheme="minorHAnsi"/>
        </w:rPr>
        <w:t>steeksproefsgewijs</w:t>
      </w:r>
      <w:proofErr w:type="spellEnd"/>
      <w:r>
        <w:rPr>
          <w:rFonts w:cstheme="minorHAnsi"/>
        </w:rPr>
        <w:t xml:space="preserve"> te controleren of deze geclaimde competentie aantoonbaar kan worden gemaakt door de aangewezen instelling.</w:t>
      </w:r>
    </w:p>
    <w:p w14:paraId="3CE80246" w14:textId="77777777" w:rsidR="00E31CD3" w:rsidRDefault="00E31CD3" w:rsidP="00766460">
      <w:pPr>
        <w:pStyle w:val="Default"/>
      </w:pPr>
    </w:p>
    <w:p w14:paraId="0AF1BE66" w14:textId="52630C2C" w:rsidR="007E03C8" w:rsidRPr="00906471" w:rsidRDefault="00403238" w:rsidP="00766460">
      <w:pPr>
        <w:spacing w:after="120"/>
        <w:rPr>
          <w:rFonts w:cstheme="minorHAnsi"/>
          <w:b/>
          <w:bCs/>
        </w:rPr>
      </w:pPr>
      <w:proofErr w:type="gramStart"/>
      <w:r>
        <w:rPr>
          <w:rFonts w:cstheme="minorHAnsi"/>
          <w:b/>
          <w:bCs/>
        </w:rPr>
        <w:t>Inzake</w:t>
      </w:r>
      <w:proofErr w:type="gramEnd"/>
      <w:r>
        <w:rPr>
          <w:rFonts w:cstheme="minorHAnsi"/>
          <w:b/>
          <w:bCs/>
        </w:rPr>
        <w:t xml:space="preserve"> a</w:t>
      </w:r>
      <w:r w:rsidR="00766460" w:rsidRPr="00906471">
        <w:rPr>
          <w:rFonts w:cstheme="minorHAnsi"/>
          <w:b/>
          <w:bCs/>
        </w:rPr>
        <w:t>rtikel 4</w:t>
      </w:r>
      <w:r w:rsidR="00322117">
        <w:rPr>
          <w:rFonts w:cstheme="minorHAnsi"/>
          <w:b/>
          <w:bCs/>
        </w:rPr>
        <w:t xml:space="preserve"> </w:t>
      </w:r>
      <w:r>
        <w:rPr>
          <w:rFonts w:cstheme="minorHAnsi"/>
          <w:b/>
          <w:bCs/>
        </w:rPr>
        <w:t>- O</w:t>
      </w:r>
      <w:r w:rsidR="00322117">
        <w:rPr>
          <w:rFonts w:cstheme="minorHAnsi"/>
          <w:b/>
          <w:bCs/>
        </w:rPr>
        <w:t>verleg aangewezen instellingen</w:t>
      </w:r>
    </w:p>
    <w:p w14:paraId="6A9EC18D" w14:textId="25F994A2" w:rsidR="00322117" w:rsidRDefault="00322117" w:rsidP="00322117">
      <w:pPr>
        <w:spacing w:after="120"/>
        <w:rPr>
          <w:rFonts w:cstheme="minorHAnsi"/>
        </w:rPr>
      </w:pPr>
      <w:r>
        <w:rPr>
          <w:rFonts w:cstheme="minorHAnsi"/>
        </w:rPr>
        <w:t xml:space="preserve">Tijdens </w:t>
      </w:r>
      <w:r w:rsidR="00FB5D49">
        <w:rPr>
          <w:rFonts w:cstheme="minorHAnsi"/>
        </w:rPr>
        <w:t>he</w:t>
      </w:r>
      <w:r>
        <w:rPr>
          <w:rFonts w:cstheme="minorHAnsi"/>
        </w:rPr>
        <w:t xml:space="preserve">t </w:t>
      </w:r>
      <w:r w:rsidR="00ED43D7">
        <w:rPr>
          <w:rFonts w:cstheme="minorHAnsi"/>
        </w:rPr>
        <w:t>AKI-</w:t>
      </w:r>
      <w:r>
        <w:rPr>
          <w:rFonts w:cstheme="minorHAnsi"/>
        </w:rPr>
        <w:t>overleg wordt er o</w:t>
      </w:r>
      <w:r w:rsidR="00ED43D7">
        <w:rPr>
          <w:rFonts w:cstheme="minorHAnsi"/>
        </w:rPr>
        <w:t>nder meer</w:t>
      </w:r>
      <w:r>
        <w:rPr>
          <w:rFonts w:cstheme="minorHAnsi"/>
        </w:rPr>
        <w:t xml:space="preserve"> gesproken over complexe casussen en worden er bijvoorbeeld ook beslissingen genomen over sporttoestellen </w:t>
      </w:r>
      <w:r w:rsidR="00ED43D7">
        <w:rPr>
          <w:rFonts w:cstheme="minorHAnsi"/>
        </w:rPr>
        <w:t>d</w:t>
      </w:r>
      <w:r>
        <w:rPr>
          <w:rFonts w:cstheme="minorHAnsi"/>
        </w:rPr>
        <w:t xml:space="preserve">ie </w:t>
      </w:r>
      <w:r w:rsidR="00ED43D7">
        <w:rPr>
          <w:rFonts w:cstheme="minorHAnsi"/>
        </w:rPr>
        <w:t>een aangewezen instelling</w:t>
      </w:r>
      <w:r>
        <w:rPr>
          <w:rFonts w:cstheme="minorHAnsi"/>
        </w:rPr>
        <w:t xml:space="preserve"> toch als speeltoestel in de zin van het WAS wil bestempelen. In de</w:t>
      </w:r>
      <w:r w:rsidR="00ED43D7">
        <w:rPr>
          <w:rFonts w:cstheme="minorHAnsi"/>
        </w:rPr>
        <w:t xml:space="preserve"> toelichting op het Warenwetbesluit</w:t>
      </w:r>
      <w:r>
        <w:rPr>
          <w:rFonts w:cstheme="minorHAnsi"/>
        </w:rPr>
        <w:t xml:space="preserve"> wordt misschien wel een</w:t>
      </w:r>
      <w:r w:rsidR="00ED43D7">
        <w:rPr>
          <w:rFonts w:cstheme="minorHAnsi"/>
        </w:rPr>
        <w:t xml:space="preserve"> </w:t>
      </w:r>
      <w:r>
        <w:rPr>
          <w:rFonts w:cstheme="minorHAnsi"/>
        </w:rPr>
        <w:t>afbakening gemaakt tussen toestellen die wel</w:t>
      </w:r>
      <w:r w:rsidR="00ED43D7">
        <w:rPr>
          <w:rFonts w:cstheme="minorHAnsi"/>
        </w:rPr>
        <w:t xml:space="preserve"> of </w:t>
      </w:r>
      <w:r>
        <w:rPr>
          <w:rFonts w:cstheme="minorHAnsi"/>
        </w:rPr>
        <w:t>niet onder het WAS vallen</w:t>
      </w:r>
      <w:r w:rsidR="00ED43D7">
        <w:rPr>
          <w:rFonts w:cstheme="minorHAnsi"/>
        </w:rPr>
        <w:t>, m</w:t>
      </w:r>
      <w:r>
        <w:rPr>
          <w:rFonts w:cstheme="minorHAnsi"/>
        </w:rPr>
        <w:t xml:space="preserve">aar de marktontwikkelingen die </w:t>
      </w:r>
      <w:r w:rsidR="006E0ECA">
        <w:rPr>
          <w:rFonts w:cstheme="minorHAnsi"/>
        </w:rPr>
        <w:t>zich</w:t>
      </w:r>
      <w:r w:rsidR="006E0ECA">
        <w:rPr>
          <w:rFonts w:cstheme="minorHAnsi"/>
        </w:rPr>
        <w:t xml:space="preserve"> </w:t>
      </w:r>
      <w:r>
        <w:rPr>
          <w:rFonts w:cstheme="minorHAnsi"/>
        </w:rPr>
        <w:t xml:space="preserve">na inwerkingtreding van het nieuwe Besluit voordoen zijn compleet overgeleverd aan het besloten overleg van de aangewezen instellingen en </w:t>
      </w:r>
      <w:r w:rsidR="00ED43D7">
        <w:rPr>
          <w:rFonts w:cstheme="minorHAnsi"/>
        </w:rPr>
        <w:t xml:space="preserve">de </w:t>
      </w:r>
      <w:r>
        <w:rPr>
          <w:rFonts w:cstheme="minorHAnsi"/>
        </w:rPr>
        <w:t xml:space="preserve">NVWA. </w:t>
      </w:r>
      <w:r w:rsidR="00ED43D7">
        <w:rPr>
          <w:rFonts w:cstheme="minorHAnsi"/>
        </w:rPr>
        <w:t xml:space="preserve">Dit heeft </w:t>
      </w:r>
      <w:r>
        <w:rPr>
          <w:rFonts w:cstheme="minorHAnsi"/>
        </w:rPr>
        <w:t xml:space="preserve">als gevolg dat deze partijen toekomstig gaan beslissen over toestellen, inrichtingen en activiteiten terwijl betrokken/betroffen branches hier totaal niet in gehoord worden. Het is niet meer dan logisch dat in het overleg ook inspraak mogelijk moet zijn van partijen en branches die getroffen worden door toekomstige besluiten van dit overleg. </w:t>
      </w:r>
      <w:r w:rsidR="00ED43D7">
        <w:rPr>
          <w:rFonts w:cstheme="minorHAnsi"/>
        </w:rPr>
        <w:t>H</w:t>
      </w:r>
      <w:r>
        <w:rPr>
          <w:rFonts w:cstheme="minorHAnsi"/>
        </w:rPr>
        <w:t xml:space="preserve">et overleg </w:t>
      </w:r>
      <w:r w:rsidR="00ED43D7">
        <w:rPr>
          <w:rFonts w:cstheme="minorHAnsi"/>
        </w:rPr>
        <w:t xml:space="preserve">zou </w:t>
      </w:r>
      <w:r>
        <w:rPr>
          <w:rFonts w:cstheme="minorHAnsi"/>
        </w:rPr>
        <w:t>ook kunnen profiteren van specifieke kennis en expertise van marktpartijen en branches, zeker als het gaat over sporttoestellen die onder WAS-regime dreigen gesteld te (gaan) worden. Op die manier wordt de veiligheid meer gediend dan een besloten overleg tussen aangewezen instellingen en NVWA die zelf</w:t>
      </w:r>
      <w:r w:rsidR="00ED43D7">
        <w:rPr>
          <w:rFonts w:cstheme="minorHAnsi"/>
        </w:rPr>
        <w:t xml:space="preserve"> (waarschijnlijk)</w:t>
      </w:r>
      <w:r>
        <w:rPr>
          <w:rFonts w:cstheme="minorHAnsi"/>
        </w:rPr>
        <w:t xml:space="preserve"> tekortschieten in kennis en expertise van specifieke sporttoestellen.</w:t>
      </w:r>
    </w:p>
    <w:p w14:paraId="17C2221D" w14:textId="250B4581" w:rsidR="00322117" w:rsidRDefault="00322117" w:rsidP="00322117">
      <w:pPr>
        <w:spacing w:after="120"/>
        <w:rPr>
          <w:rFonts w:cstheme="minorHAnsi"/>
        </w:rPr>
      </w:pPr>
      <w:r>
        <w:rPr>
          <w:rFonts w:cstheme="minorHAnsi"/>
        </w:rPr>
        <w:lastRenderedPageBreak/>
        <w:t xml:space="preserve">Wij verzoeken om op te nemen dat een vertegenwoordiging namens de </w:t>
      </w:r>
      <w:r w:rsidR="00FB5D49">
        <w:rPr>
          <w:rFonts w:cstheme="minorHAnsi"/>
        </w:rPr>
        <w:t xml:space="preserve">beheerders/exploitanten </w:t>
      </w:r>
      <w:r>
        <w:rPr>
          <w:rFonts w:cstheme="minorHAnsi"/>
        </w:rPr>
        <w:t xml:space="preserve">en een vertegenwoordiging van </w:t>
      </w:r>
      <w:r w:rsidR="00FB5D49">
        <w:rPr>
          <w:rFonts w:cstheme="minorHAnsi"/>
        </w:rPr>
        <w:t xml:space="preserve">fabrikanten </w:t>
      </w:r>
      <w:r>
        <w:rPr>
          <w:rFonts w:cstheme="minorHAnsi"/>
        </w:rPr>
        <w:t>kan deelnemen aan het overleg.</w:t>
      </w:r>
    </w:p>
    <w:p w14:paraId="2EEAD212" w14:textId="38E3C3E8" w:rsidR="00766460" w:rsidRDefault="00906471" w:rsidP="00766460">
      <w:pPr>
        <w:spacing w:after="120"/>
        <w:rPr>
          <w:rFonts w:cstheme="minorHAnsi"/>
        </w:rPr>
      </w:pPr>
      <w:r>
        <w:rPr>
          <w:rFonts w:cstheme="minorHAnsi"/>
        </w:rPr>
        <w:t>Wij verzoeken om op te nemen dat de notulen met overwegingen alsook de besluitenlijst van het overleg openbaar word</w:t>
      </w:r>
      <w:r w:rsidR="00ED43D7">
        <w:rPr>
          <w:rFonts w:cstheme="minorHAnsi"/>
        </w:rPr>
        <w:t>en</w:t>
      </w:r>
      <w:r>
        <w:rPr>
          <w:rFonts w:cstheme="minorHAnsi"/>
        </w:rPr>
        <w:t xml:space="preserve"> gemaakt uit hoofde van transparantie.</w:t>
      </w:r>
    </w:p>
    <w:p w14:paraId="4C00B6A1" w14:textId="1CED7454" w:rsidR="007E2658" w:rsidRPr="007E2658" w:rsidRDefault="00906471" w:rsidP="007E2658">
      <w:pPr>
        <w:spacing w:after="120"/>
        <w:rPr>
          <w:rFonts w:cstheme="minorHAnsi"/>
          <w:b/>
          <w:bCs/>
        </w:rPr>
      </w:pPr>
      <w:r w:rsidRPr="00906471">
        <w:rPr>
          <w:rFonts w:cstheme="minorHAnsi"/>
          <w:b/>
          <w:bCs/>
        </w:rPr>
        <w:t>Inschatting risico’s en bezwaarlijkheid beheersmaatregelen</w:t>
      </w:r>
    </w:p>
    <w:p w14:paraId="58CD54FC" w14:textId="44B0E964" w:rsidR="00906471" w:rsidRPr="000114D4" w:rsidRDefault="00906471" w:rsidP="007E2658">
      <w:pPr>
        <w:spacing w:after="120"/>
        <w:rPr>
          <w:rFonts w:cstheme="minorHAnsi"/>
        </w:rPr>
      </w:pPr>
      <w:r w:rsidRPr="007E2658">
        <w:rPr>
          <w:rFonts w:cstheme="minorHAnsi"/>
        </w:rPr>
        <w:t xml:space="preserve">Ter bepaling van de risico’s dient de aangewezen instelling zich te baseren op gevalideerde ongevalsgegevens. </w:t>
      </w:r>
      <w:r w:rsidR="007E2658" w:rsidRPr="007E2658">
        <w:rPr>
          <w:rFonts w:cstheme="minorHAnsi"/>
        </w:rPr>
        <w:t xml:space="preserve">Bij gebreke daarvan dient </w:t>
      </w:r>
      <w:r w:rsidRPr="007E2658">
        <w:rPr>
          <w:rFonts w:cstheme="minorHAnsi"/>
        </w:rPr>
        <w:t xml:space="preserve">een </w:t>
      </w:r>
      <w:r w:rsidR="007E2658" w:rsidRPr="007E2658">
        <w:rPr>
          <w:rFonts w:cstheme="minorHAnsi"/>
        </w:rPr>
        <w:t xml:space="preserve">gedegen </w:t>
      </w:r>
      <w:r w:rsidRPr="007E2658">
        <w:rPr>
          <w:rFonts w:cstheme="minorHAnsi"/>
        </w:rPr>
        <w:t xml:space="preserve">onderbouwing </w:t>
      </w:r>
      <w:r w:rsidR="007E2658" w:rsidRPr="007E2658">
        <w:rPr>
          <w:rFonts w:cstheme="minorHAnsi"/>
        </w:rPr>
        <w:t xml:space="preserve">van de kans en gevolgen te worden verschaft. </w:t>
      </w:r>
      <w:r w:rsidRPr="007E2658">
        <w:rPr>
          <w:rFonts w:cstheme="minorHAnsi"/>
        </w:rPr>
        <w:t>Bij de beoordeling van een attractie- of speeltoestel dient de aangewezen instelling niet enkel de risico’s, maar ook de bezwaarlijkheid van (verdere) beheersmaatregelen ter beperking van deze risico’s (zoals kosten, arbeid en effect op de werkprocessen) mee te wegen.</w:t>
      </w:r>
      <w:r w:rsidR="007E2658" w:rsidRPr="007E2658">
        <w:rPr>
          <w:rFonts w:cstheme="minorHAnsi"/>
        </w:rPr>
        <w:t xml:space="preserve"> Er dient een balans te bestaan tussen de risico’s en de beheersmaatregelen.</w:t>
      </w:r>
      <w:r w:rsidRPr="007E2658">
        <w:rPr>
          <w:rFonts w:cstheme="minorHAnsi"/>
        </w:rPr>
        <w:t xml:space="preserve"> </w:t>
      </w:r>
      <w:r w:rsidR="007E2658" w:rsidRPr="007E2658">
        <w:rPr>
          <w:rFonts w:cstheme="minorHAnsi"/>
        </w:rPr>
        <w:t>Wij verzoeken om dit op te nemen in de Warenwetregeling</w:t>
      </w:r>
      <w:r w:rsidR="00ED43D7">
        <w:rPr>
          <w:rFonts w:cstheme="minorHAnsi"/>
        </w:rPr>
        <w:t xml:space="preserve"> dan wel het Warenwetbesluit</w:t>
      </w:r>
      <w:r w:rsidR="007E2658" w:rsidRPr="007E2658">
        <w:rPr>
          <w:rFonts w:cstheme="minorHAnsi"/>
        </w:rPr>
        <w:t>.</w:t>
      </w:r>
    </w:p>
    <w:p w14:paraId="14A92791" w14:textId="23D1A4F5" w:rsidR="00227E83" w:rsidRDefault="00227E83" w:rsidP="00766460">
      <w:pPr>
        <w:spacing w:after="120"/>
        <w:rPr>
          <w:b/>
          <w:bCs/>
          <w:sz w:val="17"/>
          <w:szCs w:val="17"/>
        </w:rPr>
      </w:pPr>
      <w:r>
        <w:rPr>
          <w:rFonts w:cstheme="minorHAnsi"/>
          <w:b/>
          <w:bCs/>
        </w:rPr>
        <w:t>Klachtenloket</w:t>
      </w:r>
    </w:p>
    <w:p w14:paraId="48A43576" w14:textId="7675D5C7" w:rsidR="00227E83" w:rsidRPr="00227E83" w:rsidRDefault="00227E83" w:rsidP="00766460">
      <w:pPr>
        <w:spacing w:after="120"/>
        <w:rPr>
          <w:rFonts w:cstheme="minorHAnsi"/>
        </w:rPr>
      </w:pPr>
      <w:r w:rsidRPr="00227E83">
        <w:rPr>
          <w:rFonts w:cstheme="minorHAnsi"/>
        </w:rPr>
        <w:t xml:space="preserve">Wij verzoeken om op te nemen dat de NVWA een </w:t>
      </w:r>
      <w:r w:rsidR="00ED43D7">
        <w:rPr>
          <w:rFonts w:cstheme="minorHAnsi"/>
        </w:rPr>
        <w:t xml:space="preserve">klachtenloket en </w:t>
      </w:r>
      <w:r w:rsidRPr="00227E83">
        <w:rPr>
          <w:rFonts w:cstheme="minorHAnsi"/>
        </w:rPr>
        <w:t>klachtenregeling</w:t>
      </w:r>
      <w:r>
        <w:rPr>
          <w:rFonts w:cstheme="minorHAnsi"/>
        </w:rPr>
        <w:t xml:space="preserve"> </w:t>
      </w:r>
      <w:r w:rsidRPr="00227E83">
        <w:rPr>
          <w:rFonts w:cstheme="minorHAnsi"/>
        </w:rPr>
        <w:t>opzet ten aanzien van het functioneren van de aangewezen instellingen</w:t>
      </w:r>
      <w:r>
        <w:rPr>
          <w:rFonts w:cstheme="minorHAnsi"/>
        </w:rPr>
        <w:t>. Daarmee kunnen fabrikanten/beheerders/exploitanten op meer laagdrempelige wijze dan een gerechtsgang het functioneren van een aangewezen instelling aan de orde stellen.</w:t>
      </w:r>
    </w:p>
    <w:p w14:paraId="0161465C" w14:textId="24E820E5" w:rsidR="00D96AFF" w:rsidRPr="00D54DFC" w:rsidRDefault="00D42A0D" w:rsidP="00B879D0">
      <w:pPr>
        <w:spacing w:after="120"/>
        <w:rPr>
          <w:rFonts w:cstheme="minorHAnsi"/>
          <w:b/>
          <w:bCs/>
          <w:u w:val="single"/>
        </w:rPr>
      </w:pPr>
      <w:r w:rsidRPr="00D54DFC">
        <w:rPr>
          <w:rFonts w:cstheme="minorHAnsi"/>
          <w:b/>
          <w:bCs/>
          <w:u w:val="single"/>
        </w:rPr>
        <w:t xml:space="preserve">Keuring, certificaten en merken van goedkeuring  </w:t>
      </w:r>
    </w:p>
    <w:p w14:paraId="51E4D46A" w14:textId="5C7405A1" w:rsidR="00D42A0D" w:rsidRPr="00B879D0" w:rsidRDefault="00FB5D49" w:rsidP="00B879D0">
      <w:pPr>
        <w:spacing w:after="120"/>
        <w:rPr>
          <w:rFonts w:cstheme="minorHAnsi"/>
          <w:b/>
          <w:bCs/>
        </w:rPr>
      </w:pPr>
      <w:proofErr w:type="gramStart"/>
      <w:r>
        <w:rPr>
          <w:rFonts w:cstheme="minorHAnsi"/>
          <w:b/>
          <w:bCs/>
        </w:rPr>
        <w:t>Inzake</w:t>
      </w:r>
      <w:proofErr w:type="gramEnd"/>
      <w:r>
        <w:rPr>
          <w:rFonts w:cstheme="minorHAnsi"/>
          <w:b/>
          <w:bCs/>
        </w:rPr>
        <w:t xml:space="preserve"> a</w:t>
      </w:r>
      <w:r w:rsidR="00D42A0D" w:rsidRPr="00B879D0">
        <w:rPr>
          <w:rFonts w:cstheme="minorHAnsi"/>
          <w:b/>
          <w:bCs/>
        </w:rPr>
        <w:t>rtikel 5</w:t>
      </w:r>
    </w:p>
    <w:p w14:paraId="23657D9C" w14:textId="25E8CD28" w:rsidR="00D42A0D" w:rsidRDefault="00D42A0D" w:rsidP="00766460">
      <w:pPr>
        <w:spacing w:after="120"/>
        <w:rPr>
          <w:rFonts w:cstheme="minorHAnsi"/>
        </w:rPr>
      </w:pPr>
      <w:r>
        <w:rPr>
          <w:rFonts w:cstheme="minorHAnsi"/>
        </w:rPr>
        <w:t xml:space="preserve">Ten aanzien van lid 3 verzoeken we te verduidelijken dat een nieuwe of gewijzigde norm geen terugwerkende kracht heeft c.q. geen effect heeft op </w:t>
      </w:r>
      <w:proofErr w:type="gramStart"/>
      <w:r>
        <w:rPr>
          <w:rFonts w:cstheme="minorHAnsi"/>
        </w:rPr>
        <w:t>reeds</w:t>
      </w:r>
      <w:proofErr w:type="gramEnd"/>
      <w:r>
        <w:rPr>
          <w:rFonts w:cstheme="minorHAnsi"/>
        </w:rPr>
        <w:t xml:space="preserve"> geproduceerde toestellen. Een nieuwe keuring </w:t>
      </w:r>
      <w:r w:rsidR="00FB5D49">
        <w:rPr>
          <w:rFonts w:cstheme="minorHAnsi"/>
        </w:rPr>
        <w:t xml:space="preserve">is </w:t>
      </w:r>
      <w:proofErr w:type="gramStart"/>
      <w:r>
        <w:rPr>
          <w:rFonts w:cstheme="minorHAnsi"/>
        </w:rPr>
        <w:t>derhalve</w:t>
      </w:r>
      <w:proofErr w:type="gramEnd"/>
      <w:r>
        <w:rPr>
          <w:rFonts w:cstheme="minorHAnsi"/>
        </w:rPr>
        <w:t xml:space="preserve"> enkel </w:t>
      </w:r>
      <w:r w:rsidR="00FB5D49">
        <w:rPr>
          <w:rFonts w:cstheme="minorHAnsi"/>
        </w:rPr>
        <w:t>verplicht voor</w:t>
      </w:r>
      <w:r>
        <w:rPr>
          <w:rFonts w:cstheme="minorHAnsi"/>
        </w:rPr>
        <w:t xml:space="preserve"> toestellen geproduceerd één jaar na inwerkingtreding van de nieuwe norm.</w:t>
      </w:r>
    </w:p>
    <w:p w14:paraId="4A6D15E0" w14:textId="66732E1F" w:rsidR="00906471" w:rsidRDefault="00FB5D49" w:rsidP="00766460">
      <w:pPr>
        <w:spacing w:after="120"/>
        <w:rPr>
          <w:rFonts w:cstheme="minorHAnsi"/>
          <w:b/>
          <w:bCs/>
        </w:rPr>
      </w:pPr>
      <w:proofErr w:type="gramStart"/>
      <w:r>
        <w:rPr>
          <w:rFonts w:cstheme="minorHAnsi"/>
          <w:b/>
          <w:bCs/>
        </w:rPr>
        <w:t>Inzake</w:t>
      </w:r>
      <w:proofErr w:type="gramEnd"/>
      <w:r>
        <w:rPr>
          <w:rFonts w:cstheme="minorHAnsi"/>
          <w:b/>
          <w:bCs/>
        </w:rPr>
        <w:t xml:space="preserve"> a</w:t>
      </w:r>
      <w:r w:rsidR="00D96AFF" w:rsidRPr="00D96AFF">
        <w:rPr>
          <w:rFonts w:cstheme="minorHAnsi"/>
          <w:b/>
          <w:bCs/>
        </w:rPr>
        <w:t>rtikel 7</w:t>
      </w:r>
      <w:r w:rsidR="00206ED7">
        <w:rPr>
          <w:rFonts w:cstheme="minorHAnsi"/>
          <w:b/>
          <w:bCs/>
        </w:rPr>
        <w:t xml:space="preserve"> en 8</w:t>
      </w:r>
    </w:p>
    <w:p w14:paraId="7F367AC8" w14:textId="0477F333" w:rsidR="00D96AFF" w:rsidRPr="00D96AFF" w:rsidRDefault="00D96AFF" w:rsidP="00766460">
      <w:pPr>
        <w:spacing w:after="120"/>
        <w:rPr>
          <w:rFonts w:cstheme="minorHAnsi"/>
        </w:rPr>
      </w:pPr>
      <w:r w:rsidRPr="00D96AFF">
        <w:rPr>
          <w:rFonts w:cstheme="minorHAnsi"/>
        </w:rPr>
        <w:t xml:space="preserve">In de praktijk bevatten veel certificaten </w:t>
      </w:r>
      <w:r w:rsidR="00206ED7">
        <w:rPr>
          <w:rFonts w:cstheme="minorHAnsi"/>
        </w:rPr>
        <w:t xml:space="preserve">en merken </w:t>
      </w:r>
      <w:r w:rsidRPr="00D96AFF">
        <w:rPr>
          <w:rFonts w:cstheme="minorHAnsi"/>
        </w:rPr>
        <w:t xml:space="preserve">van goedkeuring </w:t>
      </w:r>
      <w:r>
        <w:rPr>
          <w:rFonts w:cstheme="minorHAnsi"/>
        </w:rPr>
        <w:t xml:space="preserve">van speeltoestellen </w:t>
      </w:r>
      <w:r w:rsidRPr="00D96AFF">
        <w:rPr>
          <w:rFonts w:cstheme="minorHAnsi"/>
        </w:rPr>
        <w:t>een geldigheidsdatum van 1 jaar, met de</w:t>
      </w:r>
      <w:r w:rsidR="00FB5D49">
        <w:rPr>
          <w:rFonts w:cstheme="minorHAnsi"/>
        </w:rPr>
        <w:t xml:space="preserve"> zichtbare notitie</w:t>
      </w:r>
      <w:r w:rsidRPr="00D96AFF">
        <w:rPr>
          <w:rFonts w:cstheme="minorHAnsi"/>
        </w:rPr>
        <w:t xml:space="preserve"> dat </w:t>
      </w:r>
      <w:r>
        <w:rPr>
          <w:rFonts w:cstheme="minorHAnsi"/>
        </w:rPr>
        <w:t>na</w:t>
      </w:r>
      <w:r w:rsidR="006E0ECA">
        <w:rPr>
          <w:rFonts w:cstheme="minorHAnsi"/>
        </w:rPr>
        <w:t xml:space="preserve"> </w:t>
      </w:r>
      <w:r>
        <w:rPr>
          <w:rFonts w:cstheme="minorHAnsi"/>
        </w:rPr>
        <w:t>dat jaar</w:t>
      </w:r>
      <w:r w:rsidRPr="00D96AFF">
        <w:rPr>
          <w:rFonts w:cstheme="minorHAnsi"/>
        </w:rPr>
        <w:t xml:space="preserve"> een keuring nodig is.</w:t>
      </w:r>
      <w:r>
        <w:rPr>
          <w:rFonts w:cstheme="minorHAnsi"/>
        </w:rPr>
        <w:t xml:space="preserve"> Dat is ongewenst omdat het de verkeerde indruk geeft dat een goedkeuring slechts één jaar geldig is. Ten aanzien van </w:t>
      </w:r>
      <w:r w:rsidR="00206ED7">
        <w:rPr>
          <w:rFonts w:cstheme="minorHAnsi"/>
        </w:rPr>
        <w:t xml:space="preserve">artikel 7 </w:t>
      </w:r>
      <w:r>
        <w:rPr>
          <w:rFonts w:cstheme="minorHAnsi"/>
        </w:rPr>
        <w:t xml:space="preserve">lid 3 </w:t>
      </w:r>
      <w:r w:rsidR="00206ED7">
        <w:rPr>
          <w:rFonts w:cstheme="minorHAnsi"/>
        </w:rPr>
        <w:t xml:space="preserve">en artikel 8 lid 2 </w:t>
      </w:r>
      <w:r>
        <w:rPr>
          <w:rFonts w:cstheme="minorHAnsi"/>
        </w:rPr>
        <w:t xml:space="preserve">verzoeken we op te nemen dat een certificaat </w:t>
      </w:r>
      <w:r w:rsidR="00206ED7">
        <w:rPr>
          <w:rFonts w:cstheme="minorHAnsi"/>
        </w:rPr>
        <w:t xml:space="preserve">en merk </w:t>
      </w:r>
      <w:r>
        <w:rPr>
          <w:rFonts w:cstheme="minorHAnsi"/>
        </w:rPr>
        <w:t>van goedkeuring van een speeltoestel geen geldigheidsdatum</w:t>
      </w:r>
      <w:r w:rsidR="00FB5D49">
        <w:rPr>
          <w:rFonts w:cstheme="minorHAnsi"/>
        </w:rPr>
        <w:t xml:space="preserve"> of volgende keuringsdatum</w:t>
      </w:r>
      <w:r>
        <w:rPr>
          <w:rFonts w:cstheme="minorHAnsi"/>
        </w:rPr>
        <w:t xml:space="preserve"> mag bevatten (</w:t>
      </w:r>
      <w:r w:rsidRPr="00FB5D49">
        <w:rPr>
          <w:rFonts w:cstheme="minorHAnsi"/>
        </w:rPr>
        <w:t xml:space="preserve">tenzij artikel 15, vierde lid, van het besluit of artikel 5, derde lid, van toepassing is). </w:t>
      </w:r>
    </w:p>
    <w:p w14:paraId="071D6D61" w14:textId="79BE99A0" w:rsidR="00227E83" w:rsidRPr="00D54DFC" w:rsidRDefault="00227E83" w:rsidP="00227E83">
      <w:pPr>
        <w:pStyle w:val="Default"/>
        <w:rPr>
          <w:b/>
          <w:bCs/>
          <w:sz w:val="17"/>
          <w:szCs w:val="17"/>
          <w:u w:val="single"/>
        </w:rPr>
      </w:pPr>
      <w:r w:rsidRPr="00D54DFC">
        <w:rPr>
          <w:b/>
          <w:bCs/>
          <w:sz w:val="17"/>
          <w:szCs w:val="17"/>
          <w:u w:val="single"/>
        </w:rPr>
        <w:t xml:space="preserve">Normen </w:t>
      </w:r>
    </w:p>
    <w:p w14:paraId="20101019" w14:textId="77777777" w:rsidR="00227E83" w:rsidRDefault="00227E83" w:rsidP="00227E83">
      <w:pPr>
        <w:pStyle w:val="Default"/>
        <w:rPr>
          <w:b/>
          <w:bCs/>
          <w:sz w:val="17"/>
          <w:szCs w:val="17"/>
        </w:rPr>
      </w:pPr>
    </w:p>
    <w:p w14:paraId="3E9D650C" w14:textId="15D74E4A" w:rsidR="00227E83" w:rsidRPr="00227E83" w:rsidRDefault="00FB5D49" w:rsidP="00227E83">
      <w:pPr>
        <w:pStyle w:val="Default"/>
        <w:rPr>
          <w:sz w:val="17"/>
          <w:szCs w:val="17"/>
        </w:rPr>
      </w:pPr>
      <w:proofErr w:type="gramStart"/>
      <w:r>
        <w:rPr>
          <w:b/>
          <w:bCs/>
          <w:sz w:val="17"/>
          <w:szCs w:val="17"/>
        </w:rPr>
        <w:t>Inzake</w:t>
      </w:r>
      <w:proofErr w:type="gramEnd"/>
      <w:r>
        <w:rPr>
          <w:b/>
          <w:bCs/>
          <w:sz w:val="17"/>
          <w:szCs w:val="17"/>
        </w:rPr>
        <w:t xml:space="preserve"> a</w:t>
      </w:r>
      <w:r w:rsidR="00227E83">
        <w:rPr>
          <w:b/>
          <w:bCs/>
          <w:sz w:val="17"/>
          <w:szCs w:val="17"/>
        </w:rPr>
        <w:t>rtikel 10</w:t>
      </w:r>
      <w:r>
        <w:rPr>
          <w:b/>
          <w:bCs/>
          <w:sz w:val="17"/>
          <w:szCs w:val="17"/>
        </w:rPr>
        <w:t xml:space="preserve"> - normen</w:t>
      </w:r>
    </w:p>
    <w:p w14:paraId="51A0BD02" w14:textId="5D82643A" w:rsidR="008D523C" w:rsidRDefault="008D523C" w:rsidP="008D523C">
      <w:pPr>
        <w:autoSpaceDE w:val="0"/>
        <w:autoSpaceDN w:val="0"/>
        <w:adjustRightInd w:val="0"/>
        <w:spacing w:after="60"/>
        <w:rPr>
          <w:rFonts w:cstheme="minorHAnsi"/>
        </w:rPr>
      </w:pPr>
      <w:r w:rsidRPr="00C2047A">
        <w:rPr>
          <w:rFonts w:cstheme="minorHAnsi"/>
        </w:rPr>
        <w:t xml:space="preserve">Dit artikel is onvoldoende geformuleerd en niet voorzien op het geval dat sporttoestellen </w:t>
      </w:r>
      <w:r>
        <w:rPr>
          <w:rFonts w:cstheme="minorHAnsi"/>
        </w:rPr>
        <w:t xml:space="preserve">toch </w:t>
      </w:r>
      <w:r w:rsidRPr="00C2047A">
        <w:rPr>
          <w:rFonts w:cstheme="minorHAnsi"/>
        </w:rPr>
        <w:t xml:space="preserve">als speeltoestel beschouwd worden. De praktijk wijst uit dat de specifieke </w:t>
      </w:r>
      <w:r>
        <w:rPr>
          <w:rFonts w:cstheme="minorHAnsi"/>
        </w:rPr>
        <w:t>(sport) product</w:t>
      </w:r>
      <w:r w:rsidRPr="00C2047A">
        <w:rPr>
          <w:rFonts w:cstheme="minorHAnsi"/>
        </w:rPr>
        <w:t>normen voor het specifieke sporttoestel in het slechtste geval compleet terzijde geschoven word</w:t>
      </w:r>
      <w:r>
        <w:rPr>
          <w:rFonts w:cstheme="minorHAnsi"/>
        </w:rPr>
        <w:t xml:space="preserve">en en het toestel uitsluitend </w:t>
      </w:r>
      <w:proofErr w:type="gramStart"/>
      <w:r>
        <w:rPr>
          <w:rFonts w:cstheme="minorHAnsi"/>
        </w:rPr>
        <w:t>conform</w:t>
      </w:r>
      <w:proofErr w:type="gramEnd"/>
      <w:r>
        <w:rPr>
          <w:rFonts w:cstheme="minorHAnsi"/>
        </w:rPr>
        <w:t xml:space="preserve"> de</w:t>
      </w:r>
      <w:r w:rsidRPr="00C2047A">
        <w:rPr>
          <w:rFonts w:cstheme="minorHAnsi"/>
        </w:rPr>
        <w:t xml:space="preserve"> speeltoestelnorm beoordeeld wordt. </w:t>
      </w:r>
      <w:r w:rsidR="00FB5D49">
        <w:rPr>
          <w:rFonts w:cstheme="minorHAnsi"/>
        </w:rPr>
        <w:t>Dit</w:t>
      </w:r>
      <w:r w:rsidRPr="00C2047A">
        <w:rPr>
          <w:rFonts w:cstheme="minorHAnsi"/>
        </w:rPr>
        <w:t xml:space="preserve"> leidt </w:t>
      </w:r>
      <w:r w:rsidR="00FB5D49">
        <w:rPr>
          <w:rFonts w:cstheme="minorHAnsi"/>
        </w:rPr>
        <w:t xml:space="preserve">geregeld </w:t>
      </w:r>
      <w:r w:rsidRPr="00C2047A">
        <w:rPr>
          <w:rFonts w:cstheme="minorHAnsi"/>
        </w:rPr>
        <w:t xml:space="preserve">tot een meer onveilige situatie </w:t>
      </w:r>
      <w:r w:rsidR="00FB5D49">
        <w:rPr>
          <w:rFonts w:cstheme="minorHAnsi"/>
        </w:rPr>
        <w:t>omdat</w:t>
      </w:r>
      <w:r>
        <w:rPr>
          <w:rFonts w:cstheme="minorHAnsi"/>
        </w:rPr>
        <w:t xml:space="preserve"> de speeltoestellen norm(en) niet bedacht zijn voor het beoordelen van sporttoestellen. Voorts leidt het toetsen aan de hand van de speeltoestellennorm(en) van een sporttoestel vaak tot een situatie waarin het sporttoestel niet of nauwelijks meer fatsoenlijk voor de sportfunctie gebruikt kan worden. In dit geval is het resultaat:</w:t>
      </w:r>
    </w:p>
    <w:p w14:paraId="1E7FC993" w14:textId="27F906EF" w:rsidR="008D523C" w:rsidRDefault="008D523C" w:rsidP="008D523C">
      <w:pPr>
        <w:pStyle w:val="Lijstalinea"/>
        <w:numPr>
          <w:ilvl w:val="0"/>
          <w:numId w:val="6"/>
        </w:numPr>
        <w:autoSpaceDE w:val="0"/>
        <w:autoSpaceDN w:val="0"/>
        <w:adjustRightInd w:val="0"/>
        <w:spacing w:after="60" w:line="240" w:lineRule="auto"/>
        <w:contextualSpacing w:val="0"/>
        <w:rPr>
          <w:rFonts w:cstheme="minorHAnsi"/>
        </w:rPr>
      </w:pPr>
      <w:r>
        <w:rPr>
          <w:rFonts w:cstheme="minorHAnsi"/>
        </w:rPr>
        <w:t xml:space="preserve">Dat de veiligheid per saldo er </w:t>
      </w:r>
      <w:r w:rsidR="00D54DFC">
        <w:rPr>
          <w:rFonts w:cstheme="minorHAnsi"/>
        </w:rPr>
        <w:t xml:space="preserve">vaak </w:t>
      </w:r>
      <w:r>
        <w:rPr>
          <w:rFonts w:cstheme="minorHAnsi"/>
        </w:rPr>
        <w:t>niet op vooruit gaat</w:t>
      </w:r>
    </w:p>
    <w:p w14:paraId="2764C9B2" w14:textId="2D85DB73" w:rsidR="008D523C" w:rsidRDefault="008D523C" w:rsidP="008D523C">
      <w:pPr>
        <w:pStyle w:val="Lijstalinea"/>
        <w:numPr>
          <w:ilvl w:val="0"/>
          <w:numId w:val="6"/>
        </w:numPr>
        <w:autoSpaceDE w:val="0"/>
        <w:autoSpaceDN w:val="0"/>
        <w:adjustRightInd w:val="0"/>
        <w:spacing w:after="60" w:line="240" w:lineRule="auto"/>
        <w:contextualSpacing w:val="0"/>
        <w:rPr>
          <w:rFonts w:cstheme="minorHAnsi"/>
        </w:rPr>
      </w:pPr>
      <w:r>
        <w:rPr>
          <w:rFonts w:cstheme="minorHAnsi"/>
        </w:rPr>
        <w:t>Het toestel de sportfunctie verliest</w:t>
      </w:r>
      <w:r w:rsidR="00FB5D49">
        <w:rPr>
          <w:rFonts w:cstheme="minorHAnsi"/>
        </w:rPr>
        <w:t xml:space="preserve"> of deze wordt beperkt</w:t>
      </w:r>
    </w:p>
    <w:p w14:paraId="609A7B77" w14:textId="105B1DA8" w:rsidR="008D523C" w:rsidRPr="00C2047A" w:rsidRDefault="008D523C" w:rsidP="008D523C">
      <w:pPr>
        <w:pStyle w:val="Lijstalinea"/>
        <w:numPr>
          <w:ilvl w:val="0"/>
          <w:numId w:val="6"/>
        </w:numPr>
        <w:autoSpaceDE w:val="0"/>
        <w:autoSpaceDN w:val="0"/>
        <w:adjustRightInd w:val="0"/>
        <w:spacing w:after="60" w:line="240" w:lineRule="auto"/>
        <w:contextualSpacing w:val="0"/>
        <w:rPr>
          <w:rFonts w:cstheme="minorHAnsi"/>
        </w:rPr>
      </w:pPr>
      <w:r>
        <w:rPr>
          <w:rFonts w:cstheme="minorHAnsi"/>
        </w:rPr>
        <w:lastRenderedPageBreak/>
        <w:t>Het toestel of inrichting geen bijdrage meer kan leveren aan het behalen van doelstellingen zoals deze door het Min</w:t>
      </w:r>
      <w:r w:rsidR="00D54DFC">
        <w:rPr>
          <w:rFonts w:cstheme="minorHAnsi"/>
        </w:rPr>
        <w:t>isterie</w:t>
      </w:r>
      <w:r>
        <w:rPr>
          <w:rFonts w:cstheme="minorHAnsi"/>
        </w:rPr>
        <w:t xml:space="preserve"> van VWS bepaald zijn in het Nationaal Sportakkoord en Nationaal Preventieakkoord. Daarmee gaat de Regeling haaks werken op staand beleid van het Ministerie</w:t>
      </w:r>
    </w:p>
    <w:p w14:paraId="217F8137" w14:textId="7C880D92" w:rsidR="008D523C" w:rsidRDefault="008D523C" w:rsidP="008D523C">
      <w:pPr>
        <w:autoSpaceDE w:val="0"/>
        <w:autoSpaceDN w:val="0"/>
        <w:adjustRightInd w:val="0"/>
        <w:spacing w:after="60"/>
        <w:rPr>
          <w:rFonts w:cstheme="minorHAnsi"/>
        </w:rPr>
      </w:pPr>
      <w:r w:rsidRPr="00C2047A">
        <w:rPr>
          <w:rFonts w:cstheme="minorHAnsi"/>
        </w:rPr>
        <w:t xml:space="preserve">In het beste geval wordt de sportspecifieke norm door </w:t>
      </w:r>
      <w:r w:rsidR="00FB5D49">
        <w:rPr>
          <w:rFonts w:cstheme="minorHAnsi"/>
        </w:rPr>
        <w:t xml:space="preserve">een </w:t>
      </w:r>
      <w:r w:rsidR="00D54DFC">
        <w:rPr>
          <w:rFonts w:cstheme="minorHAnsi"/>
        </w:rPr>
        <w:t xml:space="preserve">aangewezen instelling of </w:t>
      </w:r>
      <w:r w:rsidRPr="00C2047A">
        <w:rPr>
          <w:rFonts w:cstheme="minorHAnsi"/>
        </w:rPr>
        <w:t xml:space="preserve">NVWA </w:t>
      </w:r>
      <w:r w:rsidR="00FB5D49">
        <w:rPr>
          <w:rFonts w:cstheme="minorHAnsi"/>
        </w:rPr>
        <w:t xml:space="preserve">deels </w:t>
      </w:r>
      <w:r w:rsidRPr="00C2047A">
        <w:rPr>
          <w:rFonts w:cstheme="minorHAnsi"/>
        </w:rPr>
        <w:t>toegepast</w:t>
      </w:r>
      <w:r w:rsidR="00FB5D49">
        <w:rPr>
          <w:rFonts w:cstheme="minorHAnsi"/>
        </w:rPr>
        <w:t>. D</w:t>
      </w:r>
      <w:r>
        <w:rPr>
          <w:rFonts w:cstheme="minorHAnsi"/>
        </w:rPr>
        <w:t>e praktijk</w:t>
      </w:r>
      <w:r w:rsidR="00FB5D49">
        <w:rPr>
          <w:rFonts w:cstheme="minorHAnsi"/>
        </w:rPr>
        <w:t xml:space="preserve"> heeft</w:t>
      </w:r>
      <w:r>
        <w:rPr>
          <w:rFonts w:cstheme="minorHAnsi"/>
        </w:rPr>
        <w:t xml:space="preserve"> inmiddels uitgewezen, dat </w:t>
      </w:r>
      <w:r w:rsidRPr="00C2047A">
        <w:rPr>
          <w:rFonts w:cstheme="minorHAnsi"/>
        </w:rPr>
        <w:t xml:space="preserve">beide instellingen te weinig kennis van de specifieke sportnormen hebben. </w:t>
      </w:r>
      <w:r>
        <w:rPr>
          <w:rFonts w:cstheme="minorHAnsi"/>
        </w:rPr>
        <w:t>Of nog anders: de normen van sporttoestellen worden door elkaar ge</w:t>
      </w:r>
      <w:r w:rsidR="00FB5D49">
        <w:rPr>
          <w:rFonts w:cstheme="minorHAnsi"/>
        </w:rPr>
        <w:t xml:space="preserve">mixt </w:t>
      </w:r>
      <w:r>
        <w:rPr>
          <w:rFonts w:cstheme="minorHAnsi"/>
        </w:rPr>
        <w:t xml:space="preserve">met de normen van speeltoestellen. Hiermee </w:t>
      </w:r>
      <w:r w:rsidRPr="00C2047A">
        <w:rPr>
          <w:rFonts w:cstheme="minorHAnsi"/>
        </w:rPr>
        <w:t xml:space="preserve">handelen </w:t>
      </w:r>
      <w:r w:rsidR="00D54DFC">
        <w:rPr>
          <w:rFonts w:cstheme="minorHAnsi"/>
        </w:rPr>
        <w:t>aangewezen instellingen</w:t>
      </w:r>
      <w:r w:rsidRPr="00C2047A">
        <w:rPr>
          <w:rFonts w:cstheme="minorHAnsi"/>
        </w:rPr>
        <w:t xml:space="preserve"> en NVWA niet </w:t>
      </w:r>
      <w:r>
        <w:rPr>
          <w:rFonts w:cstheme="minorHAnsi"/>
        </w:rPr>
        <w:t xml:space="preserve">in lijn met de Europese bepalingen zoals deze door </w:t>
      </w:r>
      <w:r w:rsidR="007772B6">
        <w:rPr>
          <w:rFonts w:cstheme="minorHAnsi"/>
        </w:rPr>
        <w:t>het Europees Comité voor Standaardisatie (</w:t>
      </w:r>
      <w:r>
        <w:rPr>
          <w:rFonts w:cstheme="minorHAnsi"/>
        </w:rPr>
        <w:t>CEN</w:t>
      </w:r>
      <w:r w:rsidR="007772B6">
        <w:rPr>
          <w:rFonts w:cstheme="minorHAnsi"/>
        </w:rPr>
        <w:t>) en in het bijzonder de technische commissie nr. 136</w:t>
      </w:r>
      <w:r w:rsidR="007772B6" w:rsidRPr="007772B6">
        <w:t xml:space="preserve"> </w:t>
      </w:r>
      <w:r w:rsidR="007772B6" w:rsidRPr="007772B6">
        <w:rPr>
          <w:rFonts w:cstheme="minorHAnsi"/>
        </w:rPr>
        <w:t xml:space="preserve">CEN/TC 136 </w:t>
      </w:r>
      <w:proofErr w:type="gramStart"/>
      <w:r w:rsidR="007772B6">
        <w:rPr>
          <w:rFonts w:cstheme="minorHAnsi"/>
        </w:rPr>
        <w:t>inzake</w:t>
      </w:r>
      <w:proofErr w:type="gramEnd"/>
      <w:r w:rsidR="007772B6">
        <w:rPr>
          <w:rFonts w:cstheme="minorHAnsi"/>
        </w:rPr>
        <w:t xml:space="preserve"> ‘</w:t>
      </w:r>
      <w:r w:rsidR="007772B6" w:rsidRPr="007772B6">
        <w:rPr>
          <w:rFonts w:cstheme="minorHAnsi"/>
        </w:rPr>
        <w:t xml:space="preserve">Sport, </w:t>
      </w:r>
      <w:r w:rsidR="007772B6">
        <w:rPr>
          <w:rFonts w:cstheme="minorHAnsi"/>
        </w:rPr>
        <w:t>speeltoestellen en andere recreatieve toestellen’ (</w:t>
      </w:r>
      <w:r>
        <w:rPr>
          <w:rFonts w:cstheme="minorHAnsi"/>
        </w:rPr>
        <w:t>TC136</w:t>
      </w:r>
      <w:r w:rsidR="007772B6">
        <w:rPr>
          <w:rFonts w:cstheme="minorHAnsi"/>
        </w:rPr>
        <w:t xml:space="preserve">) </w:t>
      </w:r>
      <w:r>
        <w:rPr>
          <w:rFonts w:cstheme="minorHAnsi"/>
        </w:rPr>
        <w:t xml:space="preserve">zijn opgesteld. </w:t>
      </w:r>
    </w:p>
    <w:p w14:paraId="338CCD8F" w14:textId="77777777" w:rsidR="008D523C" w:rsidRPr="003D4D5F" w:rsidRDefault="008D523C" w:rsidP="008D523C">
      <w:pPr>
        <w:spacing w:after="120"/>
        <w:ind w:left="708"/>
        <w:rPr>
          <w:i/>
          <w:sz w:val="21"/>
          <w:szCs w:val="21"/>
        </w:rPr>
      </w:pPr>
      <w:r w:rsidRPr="003D4D5F">
        <w:rPr>
          <w:i/>
          <w:sz w:val="21"/>
          <w:szCs w:val="21"/>
        </w:rPr>
        <w:t>De Europese normen voor sport-, recreatie en speeltoestellen worden vanuit CEN (</w:t>
      </w:r>
      <w:r w:rsidRPr="003D4D5F">
        <w:rPr>
          <w:i/>
          <w:iCs/>
          <w:sz w:val="21"/>
          <w:szCs w:val="21"/>
        </w:rPr>
        <w:t xml:space="preserve">European </w:t>
      </w:r>
      <w:proofErr w:type="spellStart"/>
      <w:r w:rsidRPr="003D4D5F">
        <w:rPr>
          <w:i/>
          <w:iCs/>
          <w:sz w:val="21"/>
          <w:szCs w:val="21"/>
        </w:rPr>
        <w:t>Committee</w:t>
      </w:r>
      <w:proofErr w:type="spellEnd"/>
      <w:r w:rsidRPr="003D4D5F">
        <w:rPr>
          <w:i/>
          <w:iCs/>
          <w:sz w:val="21"/>
          <w:szCs w:val="21"/>
        </w:rPr>
        <w:t xml:space="preserve"> </w:t>
      </w:r>
      <w:proofErr w:type="spellStart"/>
      <w:r w:rsidRPr="003D4D5F">
        <w:rPr>
          <w:i/>
          <w:iCs/>
          <w:sz w:val="21"/>
          <w:szCs w:val="21"/>
        </w:rPr>
        <w:t>for</w:t>
      </w:r>
      <w:proofErr w:type="spellEnd"/>
      <w:r w:rsidRPr="003D4D5F">
        <w:rPr>
          <w:i/>
          <w:iCs/>
          <w:sz w:val="21"/>
          <w:szCs w:val="21"/>
        </w:rPr>
        <w:t xml:space="preserve"> </w:t>
      </w:r>
      <w:proofErr w:type="spellStart"/>
      <w:r w:rsidRPr="003D4D5F">
        <w:rPr>
          <w:i/>
          <w:iCs/>
          <w:sz w:val="21"/>
          <w:szCs w:val="21"/>
        </w:rPr>
        <w:t>Standardization</w:t>
      </w:r>
      <w:proofErr w:type="spellEnd"/>
      <w:r w:rsidRPr="003D4D5F">
        <w:rPr>
          <w:i/>
          <w:sz w:val="21"/>
          <w:szCs w:val="21"/>
        </w:rPr>
        <w:t xml:space="preserve">) beheerd door het </w:t>
      </w:r>
      <w:r w:rsidRPr="003D4D5F">
        <w:rPr>
          <w:i/>
          <w:iCs/>
          <w:sz w:val="21"/>
          <w:szCs w:val="21"/>
        </w:rPr>
        <w:t xml:space="preserve">Technical </w:t>
      </w:r>
      <w:proofErr w:type="spellStart"/>
      <w:r w:rsidRPr="003D4D5F">
        <w:rPr>
          <w:i/>
          <w:iCs/>
          <w:sz w:val="21"/>
          <w:szCs w:val="21"/>
        </w:rPr>
        <w:t>Committee</w:t>
      </w:r>
      <w:proofErr w:type="spellEnd"/>
      <w:r w:rsidRPr="003D4D5F">
        <w:rPr>
          <w:i/>
          <w:sz w:val="21"/>
          <w:szCs w:val="21"/>
        </w:rPr>
        <w:t xml:space="preserve"> CEN/TC 136. Dit Europees comité initieert en coördineert de diverse Europese normen die onder haar paraplu vallen. Zo bewaken zij een correcte afscheiding tussen de werkingsgebieden van normen en stellen zij onder andere dat Europese productnormen niet incompleet of door elkaar gehusseld mogen worden. Zo mogen Europese normen voor sporttoestellen uitsluitend toegepast worden op producten die als sporttoestel gedefinieerd zijn. En mogen sporttoestellen niet beoordeeld worden met normen van speeltoestellen. En omgekeerd geldt, dat normen van sporttoestellen niet toegepast mogen worden op producten die als speeltoestel gedefinieerd zijn. Op deze manier wordt dus een speeltoestel dat aantoonbaar aan de EN 1176 voldoet als veilig verklaard. En sporttoestellen zoals een touwparkoers (EN 15567), een buitenfitnesspark (EN 16630) of een klimwand (EN 12572) worden veilig verklaard als deze aan de daarvoor specifiek beschikbare (sporttoestellen) norm voldoet. Maar ook een Calisthenicspark dat aan de technische richtlijnen van de Calisthenicsbond voldoet (technische richtlijn en </w:t>
      </w:r>
      <w:r w:rsidRPr="003D4D5F">
        <w:rPr>
          <w:i/>
          <w:iCs/>
          <w:sz w:val="21"/>
          <w:szCs w:val="21"/>
        </w:rPr>
        <w:t xml:space="preserve">best </w:t>
      </w:r>
      <w:proofErr w:type="spellStart"/>
      <w:r w:rsidRPr="003D4D5F">
        <w:rPr>
          <w:i/>
          <w:iCs/>
          <w:sz w:val="21"/>
          <w:szCs w:val="21"/>
        </w:rPr>
        <w:t>practise</w:t>
      </w:r>
      <w:proofErr w:type="spellEnd"/>
      <w:r w:rsidRPr="003D4D5F">
        <w:rPr>
          <w:i/>
          <w:sz w:val="21"/>
          <w:szCs w:val="21"/>
        </w:rPr>
        <w:t>) wordt als sporttoestel veilig verklaard.</w:t>
      </w:r>
    </w:p>
    <w:p w14:paraId="2D915981" w14:textId="2FDCAE66" w:rsidR="00D54DFC" w:rsidRDefault="00206ED7" w:rsidP="00EE1263">
      <w:pPr>
        <w:spacing w:after="120"/>
        <w:rPr>
          <w:rFonts w:cstheme="minorHAnsi"/>
        </w:rPr>
      </w:pPr>
      <w:r>
        <w:rPr>
          <w:rFonts w:cstheme="minorHAnsi"/>
        </w:rPr>
        <w:t xml:space="preserve">Wij verzoeken </w:t>
      </w:r>
      <w:r w:rsidR="00D54DFC">
        <w:rPr>
          <w:rFonts w:cstheme="minorHAnsi"/>
        </w:rPr>
        <w:t xml:space="preserve">om </w:t>
      </w:r>
      <w:r w:rsidR="007772B6">
        <w:rPr>
          <w:rFonts w:cstheme="minorHAnsi"/>
        </w:rPr>
        <w:t xml:space="preserve">in de Warenwetregeling (of het Warenwetbesluit) </w:t>
      </w:r>
      <w:r w:rsidR="00D54DFC">
        <w:rPr>
          <w:rFonts w:cstheme="minorHAnsi"/>
        </w:rPr>
        <w:t xml:space="preserve">op te nemen dat sporttoestellen </w:t>
      </w:r>
      <w:r w:rsidR="007772B6">
        <w:rPr>
          <w:rFonts w:cstheme="minorHAnsi"/>
        </w:rPr>
        <w:t xml:space="preserve">die onder het WAS zouden vallen door hun toepassing en </w:t>
      </w:r>
      <w:r w:rsidR="00D54DFC">
        <w:rPr>
          <w:rFonts w:cstheme="minorHAnsi"/>
        </w:rPr>
        <w:t>waarvoor een specifieke norm geldt niet tegen de algemene speeltoestellennorm mogen worden gekeurd.</w:t>
      </w:r>
    </w:p>
    <w:p w14:paraId="551326FB" w14:textId="0A759B6C" w:rsidR="00227E83" w:rsidRPr="00206ED7" w:rsidRDefault="00D54DFC" w:rsidP="00EE1263">
      <w:pPr>
        <w:spacing w:after="120"/>
        <w:rPr>
          <w:rFonts w:cstheme="minorHAnsi"/>
        </w:rPr>
      </w:pPr>
      <w:r>
        <w:rPr>
          <w:rFonts w:cstheme="minorHAnsi"/>
        </w:rPr>
        <w:t xml:space="preserve">Wij verzoeken </w:t>
      </w:r>
      <w:r w:rsidR="00206ED7">
        <w:rPr>
          <w:rFonts w:cstheme="minorHAnsi"/>
        </w:rPr>
        <w:t xml:space="preserve">om een procedure op te nemen </w:t>
      </w:r>
      <w:r w:rsidR="007772B6">
        <w:rPr>
          <w:rFonts w:cstheme="minorHAnsi"/>
        </w:rPr>
        <w:t xml:space="preserve">in de regeling </w:t>
      </w:r>
      <w:r w:rsidR="00206ED7">
        <w:rPr>
          <w:rFonts w:cstheme="minorHAnsi"/>
        </w:rPr>
        <w:t>hoe</w:t>
      </w:r>
      <w:r w:rsidR="007772B6">
        <w:rPr>
          <w:rFonts w:cstheme="minorHAnsi"/>
        </w:rPr>
        <w:t xml:space="preserve"> en met welke regelmaat</w:t>
      </w:r>
      <w:r w:rsidR="00206ED7">
        <w:rPr>
          <w:rFonts w:cstheme="minorHAnsi"/>
        </w:rPr>
        <w:t xml:space="preserve"> de lijst</w:t>
      </w:r>
      <w:r w:rsidR="005D31DB">
        <w:rPr>
          <w:rFonts w:cstheme="minorHAnsi"/>
        </w:rPr>
        <w:t xml:space="preserve"> van normen</w:t>
      </w:r>
      <w:r w:rsidR="00206ED7">
        <w:rPr>
          <w:rFonts w:cstheme="minorHAnsi"/>
        </w:rPr>
        <w:t xml:space="preserve"> wordt </w:t>
      </w:r>
      <w:r w:rsidR="005D31DB">
        <w:rPr>
          <w:rFonts w:cstheme="minorHAnsi"/>
        </w:rPr>
        <w:t>geactualiseerd.</w:t>
      </w:r>
    </w:p>
    <w:p w14:paraId="4DFF1C71" w14:textId="68A862D6" w:rsidR="00EE1263" w:rsidRPr="00D54DFC" w:rsidRDefault="00D54DFC" w:rsidP="00EE1263">
      <w:pPr>
        <w:spacing w:after="120"/>
        <w:rPr>
          <w:rFonts w:cstheme="minorHAnsi"/>
          <w:b/>
          <w:bCs/>
          <w:u w:val="single"/>
        </w:rPr>
      </w:pPr>
      <w:r w:rsidRPr="00D54DFC">
        <w:rPr>
          <w:rFonts w:cstheme="minorHAnsi"/>
          <w:b/>
          <w:bCs/>
          <w:u w:val="single"/>
        </w:rPr>
        <w:t>Handhaving</w:t>
      </w:r>
    </w:p>
    <w:p w14:paraId="566C9EB6" w14:textId="5CD832E8" w:rsidR="00D54DFC" w:rsidRDefault="00D54DFC" w:rsidP="00D54DFC">
      <w:pPr>
        <w:spacing w:after="60"/>
        <w:rPr>
          <w:rFonts w:cstheme="minorHAnsi"/>
        </w:rPr>
      </w:pPr>
      <w:r>
        <w:rPr>
          <w:rFonts w:cstheme="minorHAnsi"/>
        </w:rPr>
        <w:t xml:space="preserve">Sporttoestellen met complete sporttechnische dossiers en keuringen </w:t>
      </w:r>
      <w:proofErr w:type="gramStart"/>
      <w:r>
        <w:rPr>
          <w:rFonts w:cstheme="minorHAnsi"/>
        </w:rPr>
        <w:t>conform</w:t>
      </w:r>
      <w:proofErr w:type="gramEnd"/>
      <w:r>
        <w:rPr>
          <w:rFonts w:cstheme="minorHAnsi"/>
        </w:rPr>
        <w:t xml:space="preserve"> de specifiek beschikbare productnormen voor sporttoestellen, worden met enige regelmaat tijdens controle door de NVWA zonder enige pardon buiten werking gesteld omdat:</w:t>
      </w:r>
    </w:p>
    <w:p w14:paraId="201188A8" w14:textId="77777777" w:rsidR="00D54DFC" w:rsidRDefault="00D54DFC" w:rsidP="00D54DFC">
      <w:pPr>
        <w:pStyle w:val="Lijstalinea"/>
        <w:numPr>
          <w:ilvl w:val="0"/>
          <w:numId w:val="7"/>
        </w:numPr>
        <w:spacing w:after="60" w:line="240" w:lineRule="auto"/>
        <w:contextualSpacing w:val="0"/>
        <w:rPr>
          <w:rFonts w:cstheme="minorHAnsi"/>
        </w:rPr>
      </w:pPr>
      <w:r>
        <w:rPr>
          <w:rFonts w:cstheme="minorHAnsi"/>
        </w:rPr>
        <w:t>De NVWA op basis van een eigen interpretatie beslist dat een sporttoestel toch als speeltoestel in de zin van het WAS wordt beschouwd.</w:t>
      </w:r>
    </w:p>
    <w:p w14:paraId="5BB45505" w14:textId="77777777" w:rsidR="00D54DFC" w:rsidRDefault="00D54DFC" w:rsidP="00D54DFC">
      <w:pPr>
        <w:pStyle w:val="Lijstalinea"/>
        <w:numPr>
          <w:ilvl w:val="0"/>
          <w:numId w:val="7"/>
        </w:numPr>
        <w:spacing w:after="60" w:line="240" w:lineRule="auto"/>
        <w:contextualSpacing w:val="0"/>
        <w:rPr>
          <w:rFonts w:cstheme="minorHAnsi"/>
        </w:rPr>
      </w:pPr>
      <w:r w:rsidRPr="00E21F0B">
        <w:rPr>
          <w:rFonts w:cstheme="minorHAnsi"/>
        </w:rPr>
        <w:t>Er daarbij nagenoeg alleen maar gekeken wordt naar de aanwezigheid van een geldig merk van goedkeuring</w:t>
      </w:r>
      <w:r>
        <w:rPr>
          <w:rFonts w:cstheme="minorHAnsi"/>
        </w:rPr>
        <w:t xml:space="preserve"> cf. WAS</w:t>
      </w:r>
    </w:p>
    <w:p w14:paraId="302E7F4D" w14:textId="77777777" w:rsidR="00D54DFC" w:rsidRDefault="00D54DFC" w:rsidP="00D54DFC">
      <w:pPr>
        <w:pStyle w:val="Lijstalinea"/>
        <w:numPr>
          <w:ilvl w:val="0"/>
          <w:numId w:val="7"/>
        </w:numPr>
        <w:spacing w:after="60" w:line="240" w:lineRule="auto"/>
        <w:contextualSpacing w:val="0"/>
        <w:rPr>
          <w:rFonts w:cstheme="minorHAnsi"/>
        </w:rPr>
      </w:pPr>
      <w:r>
        <w:rPr>
          <w:rFonts w:cstheme="minorHAnsi"/>
        </w:rPr>
        <w:t>En bij ontbreken daarvan het toestel direct volledig buiten werking wordt gesteld, zonder dat er sprake is van enig acuut gevaar</w:t>
      </w:r>
    </w:p>
    <w:p w14:paraId="02D688B0" w14:textId="2A268798" w:rsidR="00D54DFC" w:rsidRDefault="00D54DFC" w:rsidP="00D54DFC">
      <w:pPr>
        <w:pStyle w:val="Lijstalinea"/>
        <w:numPr>
          <w:ilvl w:val="0"/>
          <w:numId w:val="7"/>
        </w:numPr>
        <w:spacing w:after="60" w:line="240" w:lineRule="auto"/>
        <w:contextualSpacing w:val="0"/>
        <w:rPr>
          <w:rFonts w:cstheme="minorHAnsi"/>
        </w:rPr>
      </w:pPr>
      <w:r>
        <w:rPr>
          <w:rFonts w:cstheme="minorHAnsi"/>
        </w:rPr>
        <w:t xml:space="preserve">Bij het buiten werking stellen van het toestel er geen tegenspraak of bezwaar binnen redelijke termijn mogelijk is. </w:t>
      </w:r>
      <w:r w:rsidR="007772B6">
        <w:rPr>
          <w:rFonts w:cstheme="minorHAnsi"/>
        </w:rPr>
        <w:t>D</w:t>
      </w:r>
      <w:r>
        <w:rPr>
          <w:rFonts w:cstheme="minorHAnsi"/>
        </w:rPr>
        <w:t>e doorlooptijd van de bezwaar- en beroepsprocedure bedraagt maanden</w:t>
      </w:r>
      <w:r w:rsidR="007772B6">
        <w:rPr>
          <w:rFonts w:cstheme="minorHAnsi"/>
        </w:rPr>
        <w:t xml:space="preserve"> zo niet langer</w:t>
      </w:r>
      <w:r>
        <w:rPr>
          <w:rFonts w:cstheme="minorHAnsi"/>
        </w:rPr>
        <w:t xml:space="preserve">. Een exploitant zal er dan </w:t>
      </w:r>
      <w:r w:rsidR="007772B6">
        <w:rPr>
          <w:rFonts w:cstheme="minorHAnsi"/>
        </w:rPr>
        <w:t xml:space="preserve">doorgaans </w:t>
      </w:r>
      <w:r>
        <w:rPr>
          <w:rFonts w:cstheme="minorHAnsi"/>
        </w:rPr>
        <w:t xml:space="preserve">uit praktische overwegingen voor kiezen om tot een </w:t>
      </w:r>
      <w:r w:rsidR="007772B6">
        <w:rPr>
          <w:rFonts w:cstheme="minorHAnsi"/>
        </w:rPr>
        <w:t>WAS-</w:t>
      </w:r>
      <w:r>
        <w:rPr>
          <w:rFonts w:cstheme="minorHAnsi"/>
        </w:rPr>
        <w:t>keuring over te gaan</w:t>
      </w:r>
      <w:r w:rsidR="007772B6">
        <w:rPr>
          <w:rFonts w:cstheme="minorHAnsi"/>
        </w:rPr>
        <w:t>, terwijl dit zeer discutabel is.</w:t>
      </w:r>
    </w:p>
    <w:p w14:paraId="790881E8" w14:textId="43ED0147" w:rsidR="00D54DFC" w:rsidRPr="00D54DFC" w:rsidRDefault="00D54DFC" w:rsidP="00D54DFC">
      <w:pPr>
        <w:spacing w:after="120"/>
        <w:rPr>
          <w:rFonts w:cstheme="minorHAnsi"/>
          <w:b/>
          <w:bCs/>
        </w:rPr>
      </w:pPr>
      <w:r>
        <w:rPr>
          <w:rFonts w:cstheme="minorHAnsi"/>
        </w:rPr>
        <w:lastRenderedPageBreak/>
        <w:t xml:space="preserve">Deze gang van zaken wordt door de markt als zeer onrechtvaardig en buitenproportioneel beschouwd. Er dienen voorschriften te komen voor het handhavingsbeleid van de NVWA. In ieder geval voor het moment dat een sporttoestel toch als speeltoestel in de zin van het WAS beschouwd wordt. </w:t>
      </w:r>
    </w:p>
    <w:p w14:paraId="6C1F1FF5" w14:textId="244C61BF" w:rsidR="00391103" w:rsidRDefault="00391103" w:rsidP="00EE1263">
      <w:pPr>
        <w:spacing w:after="120"/>
        <w:rPr>
          <w:rFonts w:cstheme="minorHAnsi"/>
        </w:rPr>
      </w:pPr>
      <w:r>
        <w:rPr>
          <w:rFonts w:cstheme="minorHAnsi"/>
        </w:rPr>
        <w:t>Wij danken u voor de verwerking van onze opmerkingen en verzoeken in de Warenwetregeling.</w:t>
      </w:r>
    </w:p>
    <w:p w14:paraId="7497CB01" w14:textId="3F9C596A" w:rsidR="00391103" w:rsidRPr="006F1C2F" w:rsidRDefault="00391103" w:rsidP="00EE1263">
      <w:pPr>
        <w:spacing w:after="120"/>
        <w:rPr>
          <w:rFonts w:cstheme="minorHAnsi"/>
          <w:b/>
          <w:bCs/>
        </w:rPr>
      </w:pPr>
      <w:r w:rsidRPr="006F1C2F">
        <w:rPr>
          <w:rFonts w:cstheme="minorHAnsi"/>
          <w:b/>
          <w:bCs/>
        </w:rPr>
        <w:t xml:space="preserve">Wij zullen </w:t>
      </w:r>
      <w:proofErr w:type="gramStart"/>
      <w:r w:rsidRPr="006F1C2F">
        <w:rPr>
          <w:rFonts w:cstheme="minorHAnsi"/>
          <w:b/>
          <w:bCs/>
        </w:rPr>
        <w:t>tevens</w:t>
      </w:r>
      <w:proofErr w:type="gramEnd"/>
      <w:r w:rsidRPr="006F1C2F">
        <w:rPr>
          <w:rFonts w:cstheme="minorHAnsi"/>
          <w:b/>
          <w:bCs/>
        </w:rPr>
        <w:t xml:space="preserve"> binnenkort per aparte brief reageren op het gewijzigde concept van het Warenwetbesluit attractie- en speeltoestellen 2023.</w:t>
      </w:r>
    </w:p>
    <w:p w14:paraId="7FC681BD" w14:textId="77777777" w:rsidR="005D31DB" w:rsidRDefault="005D31DB" w:rsidP="00EE1263">
      <w:pPr>
        <w:spacing w:after="120"/>
        <w:rPr>
          <w:rFonts w:cstheme="minorHAnsi"/>
        </w:rPr>
      </w:pPr>
    </w:p>
    <w:p w14:paraId="59FB6710" w14:textId="52A98FD1" w:rsidR="00F557FC" w:rsidRPr="00EE1263" w:rsidRDefault="00F557FC" w:rsidP="00EE1263">
      <w:pPr>
        <w:spacing w:after="120"/>
        <w:rPr>
          <w:rFonts w:cstheme="minorHAnsi"/>
        </w:rPr>
      </w:pPr>
      <w:r w:rsidRPr="00EE1263">
        <w:rPr>
          <w:rFonts w:cstheme="minorHAnsi"/>
        </w:rPr>
        <w:t>Met vriendelijke groet,</w:t>
      </w:r>
    </w:p>
    <w:p w14:paraId="35464A92" w14:textId="127449E3" w:rsidR="007B3B88" w:rsidRPr="00EE1263" w:rsidRDefault="00212645" w:rsidP="00EE1263">
      <w:pPr>
        <w:pStyle w:val="Geenafstand"/>
        <w:spacing w:after="120" w:line="259" w:lineRule="auto"/>
        <w:rPr>
          <w:rFonts w:cstheme="minorHAnsi"/>
        </w:rPr>
      </w:pPr>
      <w:proofErr w:type="gramStart"/>
      <w:r w:rsidRPr="00EE1263">
        <w:rPr>
          <w:rFonts w:cstheme="minorHAnsi"/>
        </w:rPr>
        <w:t>n</w:t>
      </w:r>
      <w:r w:rsidR="00F557FC" w:rsidRPr="00EE1263">
        <w:rPr>
          <w:rFonts w:cstheme="minorHAnsi"/>
        </w:rPr>
        <w:t>amens</w:t>
      </w:r>
      <w:proofErr w:type="gramEnd"/>
      <w:r w:rsidR="00F557FC" w:rsidRPr="00EE1263">
        <w:rPr>
          <w:rFonts w:cstheme="minorHAnsi"/>
        </w:rPr>
        <w:t xml:space="preserve"> alle betrokken organisaties,</w:t>
      </w:r>
      <w:r w:rsidRPr="00EE1263">
        <w:rPr>
          <w:rFonts w:cstheme="minorHAnsi"/>
        </w:rPr>
        <w:br/>
      </w:r>
    </w:p>
    <w:p w14:paraId="6F622163" w14:textId="181A4669" w:rsidR="00F557FC" w:rsidRPr="00EE1263" w:rsidRDefault="00F557FC" w:rsidP="00EE1263">
      <w:pPr>
        <w:pStyle w:val="Geenafstand"/>
        <w:spacing w:line="259" w:lineRule="auto"/>
        <w:rPr>
          <w:rFonts w:cstheme="minorHAnsi"/>
        </w:rPr>
      </w:pPr>
      <w:r w:rsidRPr="00EE1263">
        <w:rPr>
          <w:rFonts w:cstheme="minorHAnsi"/>
        </w:rPr>
        <w:t>Marcel Tap</w:t>
      </w:r>
    </w:p>
    <w:p w14:paraId="64439ECB" w14:textId="772DCFD8" w:rsidR="00690AE6" w:rsidRPr="00EE1263" w:rsidRDefault="00F557FC" w:rsidP="00EE1263">
      <w:pPr>
        <w:pStyle w:val="Geenafstand"/>
        <w:spacing w:after="120" w:line="259" w:lineRule="auto"/>
        <w:rPr>
          <w:rFonts w:cstheme="minorHAnsi"/>
        </w:rPr>
      </w:pPr>
      <w:r w:rsidRPr="00EE1263">
        <w:rPr>
          <w:rFonts w:cstheme="minorHAnsi"/>
        </w:rPr>
        <w:t>HISWA-RECRON</w:t>
      </w:r>
    </w:p>
    <w:sectPr w:rsidR="00690AE6" w:rsidRPr="00EE126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6059" w14:textId="77777777" w:rsidR="00285643" w:rsidRDefault="00285643" w:rsidP="00E51F65">
      <w:pPr>
        <w:spacing w:after="0" w:line="240" w:lineRule="auto"/>
      </w:pPr>
      <w:r>
        <w:separator/>
      </w:r>
    </w:p>
  </w:endnote>
  <w:endnote w:type="continuationSeparator" w:id="0">
    <w:p w14:paraId="478372BB" w14:textId="77777777" w:rsidR="00285643" w:rsidRDefault="00285643" w:rsidP="00E5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52FC" w14:textId="0BF11356" w:rsidR="00E51F65" w:rsidRDefault="00A46332">
    <w:pPr>
      <w:pStyle w:val="Voettekst"/>
    </w:pPr>
    <w:r w:rsidRPr="00E51F65">
      <w:rPr>
        <w:noProof/>
        <w:lang w:eastAsia="nl-NL"/>
      </w:rPr>
      <w:drawing>
        <wp:anchor distT="0" distB="0" distL="114300" distR="114300" simplePos="0" relativeHeight="251675648" behindDoc="0" locked="0" layoutInCell="1" allowOverlap="1" wp14:anchorId="3A7F928C" wp14:editId="0E4BDD28">
          <wp:simplePos x="0" y="0"/>
          <wp:positionH relativeFrom="column">
            <wp:posOffset>1419225</wp:posOffset>
          </wp:positionH>
          <wp:positionV relativeFrom="paragraph">
            <wp:posOffset>-26353</wp:posOffset>
          </wp:positionV>
          <wp:extent cx="659553" cy="494665"/>
          <wp:effectExtent l="0" t="0" r="762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9553"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3600" behindDoc="1" locked="0" layoutInCell="1" allowOverlap="1" wp14:anchorId="280DB89C" wp14:editId="67715B6A">
          <wp:simplePos x="0" y="0"/>
          <wp:positionH relativeFrom="column">
            <wp:posOffset>4262120</wp:posOffset>
          </wp:positionH>
          <wp:positionV relativeFrom="page">
            <wp:posOffset>10085705</wp:posOffset>
          </wp:positionV>
          <wp:extent cx="1002183" cy="336180"/>
          <wp:effectExtent l="0" t="0" r="7620" b="698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2183" cy="3361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7456" behindDoc="0" locked="0" layoutInCell="1" allowOverlap="1" wp14:anchorId="0A6111CA" wp14:editId="770813EB">
          <wp:simplePos x="0" y="0"/>
          <wp:positionH relativeFrom="column">
            <wp:posOffset>2642235</wp:posOffset>
          </wp:positionH>
          <wp:positionV relativeFrom="paragraph">
            <wp:posOffset>-82550</wp:posOffset>
          </wp:positionV>
          <wp:extent cx="1199692" cy="550192"/>
          <wp:effectExtent l="0" t="0" r="635"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1199692" cy="550192"/>
                  </a:xfrm>
                  <a:prstGeom prst="rect">
                    <a:avLst/>
                  </a:prstGeom>
                </pic:spPr>
              </pic:pic>
            </a:graphicData>
          </a:graphic>
          <wp14:sizeRelH relativeFrom="margin">
            <wp14:pctWidth>0</wp14:pctWidth>
          </wp14:sizeRelH>
          <wp14:sizeRelV relativeFrom="margin">
            <wp14:pctHeight>0</wp14:pctHeight>
          </wp14:sizeRelV>
        </wp:anchor>
      </w:drawing>
    </w:r>
    <w:r w:rsidR="00E51F65">
      <w:rPr>
        <w:noProof/>
        <w:lang w:eastAsia="nl-NL"/>
      </w:rPr>
      <w:drawing>
        <wp:anchor distT="0" distB="0" distL="114300" distR="114300" simplePos="0" relativeHeight="251672576" behindDoc="0" locked="0" layoutInCell="1" allowOverlap="1" wp14:anchorId="7D0C3388" wp14:editId="2D30E5D6">
          <wp:simplePos x="0" y="0"/>
          <wp:positionH relativeFrom="column">
            <wp:posOffset>5676570</wp:posOffset>
          </wp:positionH>
          <wp:positionV relativeFrom="paragraph">
            <wp:posOffset>-98816</wp:posOffset>
          </wp:positionV>
          <wp:extent cx="520827" cy="555508"/>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1799" cy="556545"/>
                  </a:xfrm>
                  <a:prstGeom prst="rect">
                    <a:avLst/>
                  </a:prstGeom>
                </pic:spPr>
              </pic:pic>
            </a:graphicData>
          </a:graphic>
          <wp14:sizeRelH relativeFrom="margin">
            <wp14:pctWidth>0</wp14:pctWidth>
          </wp14:sizeRelH>
          <wp14:sizeRelV relativeFrom="margin">
            <wp14:pctHeight>0</wp14:pctHeight>
          </wp14:sizeRelV>
        </wp:anchor>
      </w:drawing>
    </w:r>
    <w:r w:rsidR="00E51F65">
      <w:rPr>
        <w:noProof/>
        <w:lang w:eastAsia="nl-NL"/>
      </w:rPr>
      <w:drawing>
        <wp:anchor distT="0" distB="0" distL="114300" distR="114300" simplePos="0" relativeHeight="251669504" behindDoc="1" locked="0" layoutInCell="1" allowOverlap="1" wp14:anchorId="38C84A70" wp14:editId="02C5DE7C">
          <wp:simplePos x="0" y="0"/>
          <wp:positionH relativeFrom="column">
            <wp:posOffset>-438658</wp:posOffset>
          </wp:positionH>
          <wp:positionV relativeFrom="page">
            <wp:posOffset>10086975</wp:posOffset>
          </wp:positionV>
          <wp:extent cx="1221639" cy="395209"/>
          <wp:effectExtent l="0" t="0" r="0" b="508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1639" cy="39520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0CD8" w14:textId="77777777" w:rsidR="00285643" w:rsidRDefault="00285643" w:rsidP="00E51F65">
      <w:pPr>
        <w:spacing w:after="0" w:line="240" w:lineRule="auto"/>
      </w:pPr>
      <w:r>
        <w:separator/>
      </w:r>
    </w:p>
  </w:footnote>
  <w:footnote w:type="continuationSeparator" w:id="0">
    <w:p w14:paraId="42887ACD" w14:textId="77777777" w:rsidR="00285643" w:rsidRDefault="00285643" w:rsidP="00E5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6BB6" w14:textId="37036C1F" w:rsidR="00F557FC" w:rsidRDefault="00E51F65" w:rsidP="00F557FC">
    <w:pPr>
      <w:pStyle w:val="Geenafstand"/>
      <w:ind w:left="7080"/>
      <w:rPr>
        <w:sz w:val="20"/>
        <w:szCs w:val="20"/>
      </w:rPr>
    </w:pPr>
    <w:r w:rsidRPr="00E51F65">
      <w:rPr>
        <w:noProof/>
        <w:lang w:eastAsia="nl-NL"/>
      </w:rPr>
      <w:drawing>
        <wp:anchor distT="0" distB="0" distL="114300" distR="114300" simplePos="0" relativeHeight="251658240" behindDoc="0" locked="0" layoutInCell="1" allowOverlap="1" wp14:anchorId="295283B5" wp14:editId="2FB88237">
          <wp:simplePos x="0" y="0"/>
          <wp:positionH relativeFrom="column">
            <wp:posOffset>-71755</wp:posOffset>
          </wp:positionH>
          <wp:positionV relativeFrom="paragraph">
            <wp:posOffset>-158115</wp:posOffset>
          </wp:positionV>
          <wp:extent cx="1004400" cy="752400"/>
          <wp:effectExtent l="0" t="0" r="571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4400" cy="752400"/>
                  </a:xfrm>
                  <a:prstGeom prst="rect">
                    <a:avLst/>
                  </a:prstGeom>
                </pic:spPr>
              </pic:pic>
            </a:graphicData>
          </a:graphic>
          <wp14:sizeRelH relativeFrom="page">
            <wp14:pctWidth>0</wp14:pctWidth>
          </wp14:sizeRelH>
          <wp14:sizeRelV relativeFrom="page">
            <wp14:pctHeight>0</wp14:pctHeight>
          </wp14:sizeRelV>
        </wp:anchor>
      </w:drawing>
    </w:r>
    <w:r w:rsidR="00F557FC">
      <w:t>HISWA-RECRON</w:t>
    </w:r>
  </w:p>
  <w:p w14:paraId="368DDE10" w14:textId="77777777" w:rsidR="00F557FC" w:rsidRPr="002D3F5F" w:rsidRDefault="00F557FC" w:rsidP="00F557FC">
    <w:pPr>
      <w:pStyle w:val="Geenafstand"/>
      <w:ind w:left="7080"/>
      <w:rPr>
        <w:sz w:val="20"/>
        <w:szCs w:val="20"/>
      </w:rPr>
    </w:pPr>
    <w:r w:rsidRPr="002D3F5F">
      <w:rPr>
        <w:sz w:val="20"/>
        <w:szCs w:val="20"/>
      </w:rPr>
      <w:t>Storkstraat 24</w:t>
    </w:r>
  </w:p>
  <w:p w14:paraId="7B8CE772" w14:textId="77777777" w:rsidR="00F557FC" w:rsidRPr="002D3F5F" w:rsidRDefault="00F557FC" w:rsidP="00F557FC">
    <w:pPr>
      <w:pStyle w:val="Geenafstand"/>
      <w:ind w:left="7080"/>
      <w:rPr>
        <w:sz w:val="20"/>
        <w:szCs w:val="20"/>
      </w:rPr>
    </w:pPr>
    <w:r w:rsidRPr="002D3F5F">
      <w:rPr>
        <w:sz w:val="20"/>
        <w:szCs w:val="20"/>
      </w:rPr>
      <w:t>3833 LB Leusden</w:t>
    </w:r>
  </w:p>
  <w:p w14:paraId="35E5CA25" w14:textId="6798063C" w:rsidR="00E51F65" w:rsidRDefault="00E51F65" w:rsidP="00E51F65">
    <w:pPr>
      <w:pStyle w:val="Koptekst"/>
      <w:tabs>
        <w:tab w:val="clear" w:pos="4536"/>
        <w:tab w:val="clear" w:pos="9072"/>
        <w:tab w:val="left" w:pos="27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F6E54"/>
    <w:multiLevelType w:val="hybridMultilevel"/>
    <w:tmpl w:val="A1D28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045AB"/>
    <w:multiLevelType w:val="hybridMultilevel"/>
    <w:tmpl w:val="3F121A56"/>
    <w:lvl w:ilvl="0" w:tplc="41D610D6">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117584"/>
    <w:multiLevelType w:val="hybridMultilevel"/>
    <w:tmpl w:val="188E4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3B4595"/>
    <w:multiLevelType w:val="hybridMultilevel"/>
    <w:tmpl w:val="DAAEEA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322DC8"/>
    <w:multiLevelType w:val="hybridMultilevel"/>
    <w:tmpl w:val="FD9E508A"/>
    <w:lvl w:ilvl="0" w:tplc="508EBCD8">
      <w:start w:val="1"/>
      <w:numFmt w:val="decimal"/>
      <w:lvlText w:val="%1."/>
      <w:lvlJc w:val="left"/>
      <w:pPr>
        <w:ind w:left="360" w:hanging="360"/>
      </w:pPr>
      <w:rPr>
        <w:u w:val="none"/>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66D00364"/>
    <w:multiLevelType w:val="hybridMultilevel"/>
    <w:tmpl w:val="55E0FB7C"/>
    <w:lvl w:ilvl="0" w:tplc="0234BEE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1F5A49"/>
    <w:multiLevelType w:val="hybridMultilevel"/>
    <w:tmpl w:val="B97EA938"/>
    <w:lvl w:ilvl="0" w:tplc="D44281B6">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71568697">
    <w:abstractNumId w:val="1"/>
  </w:num>
  <w:num w:numId="2" w16cid:durableId="1774670833">
    <w:abstractNumId w:val="6"/>
  </w:num>
  <w:num w:numId="3" w16cid:durableId="1981106166">
    <w:abstractNumId w:val="5"/>
  </w:num>
  <w:num w:numId="4" w16cid:durableId="9916706">
    <w:abstractNumId w:val="3"/>
  </w:num>
  <w:num w:numId="5" w16cid:durableId="1471481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589649">
    <w:abstractNumId w:val="0"/>
  </w:num>
  <w:num w:numId="7" w16cid:durableId="586505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88"/>
    <w:rsid w:val="00025909"/>
    <w:rsid w:val="0003056F"/>
    <w:rsid w:val="0005429F"/>
    <w:rsid w:val="00084762"/>
    <w:rsid w:val="00117172"/>
    <w:rsid w:val="00123189"/>
    <w:rsid w:val="00123B2C"/>
    <w:rsid w:val="00130DD9"/>
    <w:rsid w:val="00144C88"/>
    <w:rsid w:val="00144F6F"/>
    <w:rsid w:val="001A1FB3"/>
    <w:rsid w:val="001B6336"/>
    <w:rsid w:val="001E14B3"/>
    <w:rsid w:val="00206ED7"/>
    <w:rsid w:val="00212645"/>
    <w:rsid w:val="00227E83"/>
    <w:rsid w:val="00243F06"/>
    <w:rsid w:val="00285643"/>
    <w:rsid w:val="002D3F5F"/>
    <w:rsid w:val="002F3A16"/>
    <w:rsid w:val="00302A6F"/>
    <w:rsid w:val="00312A71"/>
    <w:rsid w:val="00317370"/>
    <w:rsid w:val="00322117"/>
    <w:rsid w:val="0033010A"/>
    <w:rsid w:val="00332716"/>
    <w:rsid w:val="00341BD8"/>
    <w:rsid w:val="00362F64"/>
    <w:rsid w:val="00364706"/>
    <w:rsid w:val="00372D9A"/>
    <w:rsid w:val="00391103"/>
    <w:rsid w:val="003A339A"/>
    <w:rsid w:val="00403238"/>
    <w:rsid w:val="004115B6"/>
    <w:rsid w:val="004265EB"/>
    <w:rsid w:val="004A4D17"/>
    <w:rsid w:val="004A6669"/>
    <w:rsid w:val="004B2B0D"/>
    <w:rsid w:val="004B7100"/>
    <w:rsid w:val="004D7DE6"/>
    <w:rsid w:val="00513AF9"/>
    <w:rsid w:val="005253EE"/>
    <w:rsid w:val="00533C7A"/>
    <w:rsid w:val="00564044"/>
    <w:rsid w:val="005A1710"/>
    <w:rsid w:val="005D31DB"/>
    <w:rsid w:val="006602A6"/>
    <w:rsid w:val="00673DDA"/>
    <w:rsid w:val="0068233D"/>
    <w:rsid w:val="00690AE6"/>
    <w:rsid w:val="006E0ECA"/>
    <w:rsid w:val="006F0E72"/>
    <w:rsid w:val="006F1C2F"/>
    <w:rsid w:val="007034CC"/>
    <w:rsid w:val="007219EF"/>
    <w:rsid w:val="007308A1"/>
    <w:rsid w:val="00741F78"/>
    <w:rsid w:val="007510BB"/>
    <w:rsid w:val="00762805"/>
    <w:rsid w:val="00766460"/>
    <w:rsid w:val="007772B6"/>
    <w:rsid w:val="007A2C87"/>
    <w:rsid w:val="007B3B88"/>
    <w:rsid w:val="007E03C8"/>
    <w:rsid w:val="007E2658"/>
    <w:rsid w:val="007F3B72"/>
    <w:rsid w:val="00873D42"/>
    <w:rsid w:val="00875976"/>
    <w:rsid w:val="008D523C"/>
    <w:rsid w:val="008E49AD"/>
    <w:rsid w:val="008E4D02"/>
    <w:rsid w:val="00906471"/>
    <w:rsid w:val="00996DE3"/>
    <w:rsid w:val="009E12D2"/>
    <w:rsid w:val="00A43E6B"/>
    <w:rsid w:val="00A46332"/>
    <w:rsid w:val="00A61E41"/>
    <w:rsid w:val="00A6247A"/>
    <w:rsid w:val="00B02F9A"/>
    <w:rsid w:val="00B04F0F"/>
    <w:rsid w:val="00B1487E"/>
    <w:rsid w:val="00B879D0"/>
    <w:rsid w:val="00BA081C"/>
    <w:rsid w:val="00BA3EFB"/>
    <w:rsid w:val="00BE42CF"/>
    <w:rsid w:val="00BF762F"/>
    <w:rsid w:val="00C04CD8"/>
    <w:rsid w:val="00C5483F"/>
    <w:rsid w:val="00C54C8A"/>
    <w:rsid w:val="00C9783D"/>
    <w:rsid w:val="00CC0D76"/>
    <w:rsid w:val="00D42A0D"/>
    <w:rsid w:val="00D54DFC"/>
    <w:rsid w:val="00D77EE5"/>
    <w:rsid w:val="00D82845"/>
    <w:rsid w:val="00D96AFF"/>
    <w:rsid w:val="00DC6B6B"/>
    <w:rsid w:val="00DF0FBF"/>
    <w:rsid w:val="00E005A0"/>
    <w:rsid w:val="00E2575F"/>
    <w:rsid w:val="00E31CD3"/>
    <w:rsid w:val="00E51F65"/>
    <w:rsid w:val="00E62731"/>
    <w:rsid w:val="00E97C9D"/>
    <w:rsid w:val="00ED43D7"/>
    <w:rsid w:val="00EE1263"/>
    <w:rsid w:val="00EF43D9"/>
    <w:rsid w:val="00F22F48"/>
    <w:rsid w:val="00F557FC"/>
    <w:rsid w:val="00FB5D49"/>
    <w:rsid w:val="00FF2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EBBC"/>
  <w15:chartTrackingRefBased/>
  <w15:docId w15:val="{0A361784-E19D-4B15-BD68-8A5246AA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autoRedefine/>
    <w:uiPriority w:val="9"/>
    <w:qFormat/>
    <w:rsid w:val="005253EE"/>
    <w:pPr>
      <w:spacing w:before="100" w:beforeAutospacing="1" w:after="100" w:afterAutospacing="1" w:line="240" w:lineRule="auto"/>
      <w:outlineLvl w:val="0"/>
    </w:pPr>
    <w:rPr>
      <w:rFonts w:asciiTheme="majorHAnsi" w:eastAsia="Times New Roman" w:hAnsiTheme="majorHAnsi" w:cs="Times New Roman"/>
      <w:b/>
      <w:bCs/>
      <w:kern w:val="36"/>
      <w:sz w:val="26"/>
      <w:szCs w:val="48"/>
      <w:u w:val="single"/>
      <w:lang w:eastAsia="nl-NL"/>
    </w:rPr>
  </w:style>
  <w:style w:type="paragraph" w:styleId="Kop2">
    <w:name w:val="heading 2"/>
    <w:basedOn w:val="Standaard"/>
    <w:next w:val="Standaard"/>
    <w:link w:val="Kop2Char"/>
    <w:autoRedefine/>
    <w:uiPriority w:val="9"/>
    <w:unhideWhenUsed/>
    <w:qFormat/>
    <w:rsid w:val="003A339A"/>
    <w:pPr>
      <w:keepNext/>
      <w:keepLines/>
      <w:spacing w:before="40" w:after="0"/>
      <w:outlineLvl w:val="1"/>
    </w:pPr>
    <w:rPr>
      <w:rFonts w:asciiTheme="majorHAnsi" w:eastAsiaTheme="majorEastAsia" w:hAnsiTheme="majorHAnsi" w:cstheme="majorBidi"/>
      <w:b/>
      <w:sz w:val="24"/>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3EE"/>
    <w:rPr>
      <w:rFonts w:asciiTheme="majorHAnsi" w:eastAsia="Times New Roman" w:hAnsiTheme="majorHAnsi" w:cs="Times New Roman"/>
      <w:b/>
      <w:bCs/>
      <w:kern w:val="36"/>
      <w:sz w:val="26"/>
      <w:szCs w:val="48"/>
      <w:u w:val="single"/>
      <w:lang w:eastAsia="nl-NL"/>
    </w:rPr>
  </w:style>
  <w:style w:type="character" w:customStyle="1" w:styleId="Kop2Char">
    <w:name w:val="Kop 2 Char"/>
    <w:basedOn w:val="Standaardalinea-lettertype"/>
    <w:link w:val="Kop2"/>
    <w:uiPriority w:val="9"/>
    <w:rsid w:val="003A339A"/>
    <w:rPr>
      <w:rFonts w:asciiTheme="majorHAnsi" w:eastAsiaTheme="majorEastAsia" w:hAnsiTheme="majorHAnsi" w:cstheme="majorBidi"/>
      <w:b/>
      <w:sz w:val="24"/>
      <w:szCs w:val="26"/>
      <w:u w:val="single"/>
    </w:rPr>
  </w:style>
  <w:style w:type="paragraph" w:styleId="Lijstalinea">
    <w:name w:val="List Paragraph"/>
    <w:basedOn w:val="Standaard"/>
    <w:uiPriority w:val="34"/>
    <w:qFormat/>
    <w:rsid w:val="00144C88"/>
    <w:pPr>
      <w:ind w:left="720"/>
      <w:contextualSpacing/>
    </w:pPr>
  </w:style>
  <w:style w:type="paragraph" w:styleId="Geenafstand">
    <w:name w:val="No Spacing"/>
    <w:uiPriority w:val="1"/>
    <w:qFormat/>
    <w:rsid w:val="00E51F65"/>
    <w:pPr>
      <w:spacing w:after="0" w:line="240" w:lineRule="auto"/>
    </w:pPr>
  </w:style>
  <w:style w:type="paragraph" w:styleId="Koptekst">
    <w:name w:val="header"/>
    <w:basedOn w:val="Standaard"/>
    <w:link w:val="KoptekstChar"/>
    <w:uiPriority w:val="99"/>
    <w:unhideWhenUsed/>
    <w:rsid w:val="00E51F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1F65"/>
  </w:style>
  <w:style w:type="paragraph" w:styleId="Voettekst">
    <w:name w:val="footer"/>
    <w:basedOn w:val="Standaard"/>
    <w:link w:val="VoettekstChar"/>
    <w:uiPriority w:val="99"/>
    <w:unhideWhenUsed/>
    <w:rsid w:val="00E51F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1F65"/>
  </w:style>
  <w:style w:type="character" w:styleId="Hyperlink">
    <w:name w:val="Hyperlink"/>
    <w:basedOn w:val="Standaardalinea-lettertype"/>
    <w:uiPriority w:val="99"/>
    <w:unhideWhenUsed/>
    <w:rsid w:val="00A43E6B"/>
    <w:rPr>
      <w:color w:val="0563C1" w:themeColor="hyperlink"/>
      <w:u w:val="single"/>
    </w:rPr>
  </w:style>
  <w:style w:type="character" w:customStyle="1" w:styleId="Onopgelostemelding1">
    <w:name w:val="Onopgeloste melding1"/>
    <w:basedOn w:val="Standaardalinea-lettertype"/>
    <w:uiPriority w:val="99"/>
    <w:semiHidden/>
    <w:unhideWhenUsed/>
    <w:rsid w:val="00A43E6B"/>
    <w:rPr>
      <w:color w:val="605E5C"/>
      <w:shd w:val="clear" w:color="auto" w:fill="E1DFDD"/>
    </w:rPr>
  </w:style>
  <w:style w:type="paragraph" w:styleId="Revisie">
    <w:name w:val="Revision"/>
    <w:hidden/>
    <w:uiPriority w:val="99"/>
    <w:semiHidden/>
    <w:rsid w:val="00025909"/>
    <w:pPr>
      <w:spacing w:after="0" w:line="240" w:lineRule="auto"/>
    </w:pPr>
  </w:style>
  <w:style w:type="paragraph" w:styleId="Ballontekst">
    <w:name w:val="Balloon Text"/>
    <w:basedOn w:val="Standaard"/>
    <w:link w:val="BallontekstChar"/>
    <w:uiPriority w:val="99"/>
    <w:semiHidden/>
    <w:unhideWhenUsed/>
    <w:rsid w:val="00C5483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483F"/>
    <w:rPr>
      <w:rFonts w:ascii="Segoe UI" w:hAnsi="Segoe UI" w:cs="Segoe UI"/>
      <w:sz w:val="18"/>
      <w:szCs w:val="18"/>
    </w:rPr>
  </w:style>
  <w:style w:type="character" w:styleId="Onopgelostemelding">
    <w:name w:val="Unresolved Mention"/>
    <w:basedOn w:val="Standaardalinea-lettertype"/>
    <w:uiPriority w:val="99"/>
    <w:semiHidden/>
    <w:unhideWhenUsed/>
    <w:rsid w:val="00D77EE5"/>
    <w:rPr>
      <w:color w:val="605E5C"/>
      <w:shd w:val="clear" w:color="auto" w:fill="E1DFDD"/>
    </w:rPr>
  </w:style>
  <w:style w:type="paragraph" w:customStyle="1" w:styleId="Default">
    <w:name w:val="Default"/>
    <w:rsid w:val="0076646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8942B533B6040B2288AC431BE9295" ma:contentTypeVersion="17" ma:contentTypeDescription="Een nieuw document maken." ma:contentTypeScope="" ma:versionID="8fec0d0eb599d12d0e04291ffce8f9ae">
  <xsd:schema xmlns:xsd="http://www.w3.org/2001/XMLSchema" xmlns:xs="http://www.w3.org/2001/XMLSchema" xmlns:p="http://schemas.microsoft.com/office/2006/metadata/properties" xmlns:ns2="14933aee-a7d7-4db7-8c5a-f368d029d0f2" xmlns:ns3="5bda96be-0059-4bba-92e4-cbcaf675faaf" targetNamespace="http://schemas.microsoft.com/office/2006/metadata/properties" ma:root="true" ma:fieldsID="a9f84a535f72959d751db6523f902a0f" ns2:_="" ns3:_="">
    <xsd:import namespace="14933aee-a7d7-4db7-8c5a-f368d029d0f2"/>
    <xsd:import namespace="5bda96be-0059-4bba-92e4-cbcaf675fa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Gedaa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3aee-a7d7-4db7-8c5a-f368d029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edaan" ma:index="20" nillable="true" ma:displayName="Gedaan" ma:description="ja" ma:format="Dropdown" ma:internalName="Gedaa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fd9ca252-22d1-499e-a988-5107a32143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a96be-0059-4bba-92e4-cbcaf675faa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4fa91a4-515f-4ad3-9b65-e485b5556a62}" ma:internalName="TaxCatchAll" ma:showField="CatchAllData" ma:web="5bda96be-0059-4bba-92e4-cbcaf675f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daan xmlns="14933aee-a7d7-4db7-8c5a-f368d029d0f2" xsi:nil="true"/>
    <TaxCatchAll xmlns="5bda96be-0059-4bba-92e4-cbcaf675faaf" xsi:nil="true"/>
    <lcf76f155ced4ddcb4097134ff3c332f xmlns="14933aee-a7d7-4db7-8c5a-f368d029d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5F3C15-44F6-43ED-A432-232B9E47BDE9}"/>
</file>

<file path=customXml/itemProps2.xml><?xml version="1.0" encoding="utf-8"?>
<ds:datastoreItem xmlns:ds="http://schemas.openxmlformats.org/officeDocument/2006/customXml" ds:itemID="{622A7F08-19E5-45FC-AD2A-5B6D64C4A21C}"/>
</file>

<file path=customXml/itemProps3.xml><?xml version="1.0" encoding="utf-8"?>
<ds:datastoreItem xmlns:ds="http://schemas.openxmlformats.org/officeDocument/2006/customXml" ds:itemID="{2701CD4E-90A3-46C8-B81C-75FA74C809AF}"/>
</file>

<file path=docProps/app.xml><?xml version="1.0" encoding="utf-8"?>
<Properties xmlns="http://schemas.openxmlformats.org/officeDocument/2006/extended-properties" xmlns:vt="http://schemas.openxmlformats.org/officeDocument/2006/docPropsVTypes">
  <Template>Normal.dotm</Template>
  <TotalTime>1</TotalTime>
  <Pages>5</Pages>
  <Words>2043</Words>
  <Characters>11237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c:creator>
  <cp:keywords/>
  <dc:description/>
  <cp:lastModifiedBy>Marcel Tap</cp:lastModifiedBy>
  <cp:revision>2</cp:revision>
  <dcterms:created xsi:type="dcterms:W3CDTF">2023-03-23T13:47:00Z</dcterms:created>
  <dcterms:modified xsi:type="dcterms:W3CDTF">2023-03-23T13:47:00Z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0x0101005B78942B533B6040B2288AC431BE9295</vt:lpwstr>
  </property>
</Properties>
</file>