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3608C" w14:textId="77777777" w:rsidR="004F5DA9" w:rsidRDefault="00B77CC2" w:rsidP="00B77CC2">
      <w:pPr>
        <w:rPr>
          <w:b/>
          <w:bCs/>
        </w:rPr>
      </w:pPr>
      <w:r w:rsidRPr="00B77CC2">
        <w:rPr>
          <w:b/>
          <w:bCs/>
        </w:rPr>
        <w:t xml:space="preserve">Het gebruik van gewasbeschermingsmiddelen. </w:t>
      </w:r>
      <w:r w:rsidR="00B175AB">
        <w:rPr>
          <w:b/>
          <w:bCs/>
        </w:rPr>
        <w:t xml:space="preserve">Uitzondering voor recreatiebedrijven en jachthavens nog steeds van kracht. </w:t>
      </w:r>
    </w:p>
    <w:p w14:paraId="51E0748E" w14:textId="1032F15A" w:rsidR="004F5DA9" w:rsidRPr="004F5DA9" w:rsidRDefault="00B77CC2" w:rsidP="004F5DA9">
      <w:pPr>
        <w:rPr>
          <w:b/>
          <w:bCs/>
          <w:u w:val="single"/>
        </w:rPr>
      </w:pPr>
      <w:r w:rsidRPr="004F5DA9">
        <w:rPr>
          <w:b/>
          <w:bCs/>
          <w:u w:val="single"/>
        </w:rPr>
        <w:t>Wetgeving</w:t>
      </w:r>
      <w:r w:rsidR="004F5DA9" w:rsidRPr="004F5DA9">
        <w:rPr>
          <w:b/>
          <w:bCs/>
          <w:u w:val="single"/>
        </w:rPr>
        <w:t>.  Stand van zaken per oktober 2025</w:t>
      </w:r>
    </w:p>
    <w:p w14:paraId="20C011B6" w14:textId="77777777" w:rsidR="00B77CC2" w:rsidRPr="00B77CC2" w:rsidRDefault="00B77CC2" w:rsidP="003E6BF8">
      <w:r w:rsidRPr="00B77CC2">
        <w:t>De basis is de Wet gewasbeschermingsmiddelen en biociden (</w:t>
      </w:r>
      <w:proofErr w:type="spellStart"/>
      <w:r w:rsidRPr="00B77CC2">
        <w:t>Wgb</w:t>
      </w:r>
      <w:proofErr w:type="spellEnd"/>
      <w:r w:rsidRPr="00B77CC2">
        <w:t>) waarin geregeld is dat gewasbeschermingsmiddelen (inclusief middelen met glyfosaat) op de markt mogen komen en gebruikt mogen worden onder voorwaarden.</w:t>
      </w:r>
    </w:p>
    <w:p w14:paraId="03742FD0" w14:textId="13E49223" w:rsidR="00B77CC2" w:rsidRPr="00B77CC2" w:rsidRDefault="00B77CC2" w:rsidP="003E6BF8">
      <w:r w:rsidRPr="00B77CC2">
        <w:t>Vanuit die wet is het Besluit gewasbeschermingsmiddelen en biociden (</w:t>
      </w:r>
      <w:proofErr w:type="spellStart"/>
      <w:r w:rsidRPr="00B77CC2">
        <w:t>Bgb</w:t>
      </w:r>
      <w:proofErr w:type="spellEnd"/>
      <w:r w:rsidRPr="00B77CC2">
        <w:t xml:space="preserve">) afgeleid, met daarin onder meer een verbod op professioneel gebruik buiten de land- en tuinbouw. Zie bijvoorbeeld artikel 27b </w:t>
      </w:r>
      <w:proofErr w:type="spellStart"/>
      <w:r w:rsidRPr="00B77CC2">
        <w:t>Bgb</w:t>
      </w:r>
      <w:proofErr w:type="spellEnd"/>
      <w:r w:rsidRPr="00B77CC2">
        <w:t xml:space="preserve">. </w:t>
      </w:r>
    </w:p>
    <w:p w14:paraId="1B5AF6FC" w14:textId="699A14E1" w:rsidR="00B77CC2" w:rsidRPr="00B77CC2" w:rsidRDefault="00B77CC2" w:rsidP="003E6BF8">
      <w:r w:rsidRPr="00B77CC2">
        <w:t>De Regeling gewasbeschermingsmiddelen en biociden (</w:t>
      </w:r>
      <w:proofErr w:type="spellStart"/>
      <w:r w:rsidRPr="00B77CC2">
        <w:t>Rgb</w:t>
      </w:r>
      <w:proofErr w:type="spellEnd"/>
      <w:r w:rsidRPr="00B77CC2">
        <w:t>) bevat de uitwerking, inclusief de uitzonderingsbepalingen op dat verbod</w:t>
      </w:r>
      <w:r>
        <w:t>.</w:t>
      </w:r>
    </w:p>
    <w:p w14:paraId="0BC1F2C6" w14:textId="77777777" w:rsidR="00B77CC2" w:rsidRPr="00B77CC2" w:rsidRDefault="00B77CC2" w:rsidP="00B77CC2">
      <w:pPr>
        <w:rPr>
          <w:b/>
          <w:bCs/>
          <w:u w:val="single"/>
        </w:rPr>
      </w:pPr>
      <w:r w:rsidRPr="00B77CC2">
        <w:rPr>
          <w:b/>
          <w:bCs/>
          <w:u w:val="single"/>
        </w:rPr>
        <w:t>Verbod</w:t>
      </w:r>
    </w:p>
    <w:p w14:paraId="2A8B4583" w14:textId="7FDE6FCF" w:rsidR="00B77CC2" w:rsidRPr="00B77CC2" w:rsidRDefault="00B77CC2" w:rsidP="003E6BF8">
      <w:pPr>
        <w:numPr>
          <w:ilvl w:val="0"/>
          <w:numId w:val="12"/>
        </w:numPr>
      </w:pPr>
      <w:r w:rsidRPr="00B77CC2">
        <w:t xml:space="preserve">Voor particulieren geldt dat gewasbeschermingsmiddelen met glyfosaat niet mogen worden gebruikt. </w:t>
      </w:r>
    </w:p>
    <w:p w14:paraId="3BF6732E" w14:textId="3E90C18F" w:rsidR="00B77CC2" w:rsidRPr="00B77CC2" w:rsidRDefault="00B77CC2" w:rsidP="003E6BF8">
      <w:pPr>
        <w:numPr>
          <w:ilvl w:val="0"/>
          <w:numId w:val="12"/>
        </w:numPr>
      </w:pPr>
      <w:r w:rsidRPr="00B77CC2">
        <w:t xml:space="preserve">Voor professionele gebruikers buiten de landbouw geldt in principe een verbod op het gebruik van gewasbeschermingsmiddelen (dus ook middelen met glyfosaat) buiten de land- en tuinbouwsector. </w:t>
      </w:r>
    </w:p>
    <w:p w14:paraId="78AD7536" w14:textId="525E62D7" w:rsidR="00B77CC2" w:rsidRPr="00B77CC2" w:rsidRDefault="00B77CC2" w:rsidP="003E6BF8">
      <w:pPr>
        <w:numPr>
          <w:ilvl w:val="0"/>
          <w:numId w:val="12"/>
        </w:numPr>
      </w:pPr>
      <w:r w:rsidRPr="00B77CC2">
        <w:t xml:space="preserve">Dit verbod heeft verschillende fasen: op verhardingen sinds 1 maart 2016, en op onverhard terrein vanaf 1 november 2017 voor professionele gebruikers. </w:t>
      </w:r>
    </w:p>
    <w:p w14:paraId="2EE8556B" w14:textId="55FE89C0" w:rsidR="00B77CC2" w:rsidRPr="00B77CC2" w:rsidRDefault="00B77CC2" w:rsidP="003E6BF8">
      <w:pPr>
        <w:numPr>
          <w:ilvl w:val="0"/>
          <w:numId w:val="12"/>
        </w:numPr>
      </w:pPr>
      <w:r w:rsidRPr="00B77CC2">
        <w:t xml:space="preserve">De Nederlandse hoogste rechter (Hoge Raad der Nederlanden) heeft in juli 2022 bevestigd dat het verbod op professioneel gebruik buiten de landbouw rechtmatig is (gebaseerd op art. 78 </w:t>
      </w:r>
      <w:proofErr w:type="spellStart"/>
      <w:r w:rsidRPr="00B77CC2">
        <w:t>Wgb</w:t>
      </w:r>
      <w:proofErr w:type="spellEnd"/>
      <w:r w:rsidRPr="00B77CC2">
        <w:t xml:space="preserve">) ondanks eerdere onzekerheden. </w:t>
      </w:r>
    </w:p>
    <w:p w14:paraId="2221B327" w14:textId="77777777" w:rsidR="00B77CC2" w:rsidRPr="00B77CC2" w:rsidRDefault="00B77CC2" w:rsidP="00B77CC2">
      <w:pPr>
        <w:rPr>
          <w:b/>
          <w:bCs/>
          <w:u w:val="single"/>
        </w:rPr>
      </w:pPr>
      <w:r w:rsidRPr="00B77CC2">
        <w:rPr>
          <w:b/>
          <w:bCs/>
          <w:u w:val="single"/>
        </w:rPr>
        <w:t>Uitzonderingen op het verbod</w:t>
      </w:r>
    </w:p>
    <w:p w14:paraId="01E2AB60" w14:textId="751F2BD8" w:rsidR="00B77CC2" w:rsidRPr="00B77CC2" w:rsidRDefault="00B77CC2" w:rsidP="00B77CC2">
      <w:r w:rsidRPr="00B77CC2">
        <w:t>De Regeling (</w:t>
      </w:r>
      <w:proofErr w:type="spellStart"/>
      <w:r w:rsidRPr="00B77CC2">
        <w:t>Rgb</w:t>
      </w:r>
      <w:proofErr w:type="spellEnd"/>
      <w:r w:rsidRPr="00B77CC2">
        <w:t>) vermeldt in artikel 8 (artikelen 8.2 t/m 8.4) de uitzonderingssituaties waarin gebruik toch toegestaan kan zijn. Hieronder de belangrijkste categorieën:</w:t>
      </w:r>
    </w:p>
    <w:p w14:paraId="6FD52AEF" w14:textId="1A5C8945" w:rsidR="00B77CC2" w:rsidRPr="00B77CC2" w:rsidRDefault="00B77CC2" w:rsidP="00B77CC2">
      <w:pPr>
        <w:rPr>
          <w:i/>
          <w:iCs/>
        </w:rPr>
      </w:pPr>
      <w:r w:rsidRPr="00B77CC2">
        <w:rPr>
          <w:i/>
          <w:iCs/>
        </w:rPr>
        <w:t>1. Noodzakelijk voor veilige exploitatie</w:t>
      </w:r>
      <w:r w:rsidR="001E276A">
        <w:rPr>
          <w:i/>
          <w:iCs/>
        </w:rPr>
        <w:t xml:space="preserve"> (voor onze sectoren niet relevant)</w:t>
      </w:r>
    </w:p>
    <w:p w14:paraId="23381F52" w14:textId="610FC148" w:rsidR="00B77CC2" w:rsidRPr="00B77CC2" w:rsidRDefault="001E276A" w:rsidP="00B77CC2">
      <w:pPr>
        <w:rPr>
          <w:i/>
          <w:iCs/>
        </w:rPr>
      </w:pPr>
      <w:r>
        <w:rPr>
          <w:i/>
          <w:iCs/>
        </w:rPr>
        <w:t xml:space="preserve"> </w:t>
      </w:r>
      <w:r w:rsidR="00B77CC2" w:rsidRPr="00B77CC2">
        <w:rPr>
          <w:i/>
          <w:iCs/>
        </w:rPr>
        <w:t>2. Bescherming van mens, dier of milieu</w:t>
      </w:r>
      <w:r>
        <w:rPr>
          <w:i/>
          <w:iCs/>
        </w:rPr>
        <w:t xml:space="preserve"> (kan voor onze sectoren relevant zijn)</w:t>
      </w:r>
    </w:p>
    <w:p w14:paraId="3B164B95" w14:textId="46CE582D" w:rsidR="00B77CC2" w:rsidRPr="00B77CC2" w:rsidRDefault="00B77CC2" w:rsidP="00B77CC2">
      <w:r w:rsidRPr="00B77CC2">
        <w:t xml:space="preserve">Er zijn uitzonderingen toegestaan als bestrijding noodzakelijk is voor bescherming van mensen, dieren of milieu; bijvoorbeeld bij invasieve exoten. </w:t>
      </w:r>
      <w:hyperlink r:id="rId5" w:tgtFrame="_blank" w:history="1"/>
      <w:r w:rsidRPr="00B77CC2">
        <w:t xml:space="preserve">Voorbeelden van soorten: eikenprocessierups, Japanse duizendknoop. </w:t>
      </w:r>
    </w:p>
    <w:p w14:paraId="615E5A59" w14:textId="77777777" w:rsidR="00B77CC2" w:rsidRPr="00B77CC2" w:rsidRDefault="00B77CC2" w:rsidP="00B77CC2">
      <w:pPr>
        <w:rPr>
          <w:i/>
          <w:iCs/>
        </w:rPr>
      </w:pPr>
      <w:r w:rsidRPr="004F5DA9">
        <w:rPr>
          <w:i/>
          <w:iCs/>
          <w:highlight w:val="yellow"/>
        </w:rPr>
        <w:t>3. Specifieke terreinen voor recreatie/sport</w:t>
      </w:r>
    </w:p>
    <w:p w14:paraId="472F981A" w14:textId="2A0EA847" w:rsidR="003E6BF8" w:rsidRPr="00B77CC2" w:rsidRDefault="003E6BF8" w:rsidP="003E6BF8">
      <w:pPr>
        <w:rPr>
          <w:b/>
          <w:bCs/>
          <w:u w:val="single"/>
        </w:rPr>
      </w:pPr>
      <w:r w:rsidRPr="001E276A">
        <w:rPr>
          <w:b/>
          <w:bCs/>
          <w:u w:val="single"/>
        </w:rPr>
        <w:t>Uitwerking s</w:t>
      </w:r>
      <w:r w:rsidRPr="00B77CC2">
        <w:rPr>
          <w:b/>
          <w:bCs/>
          <w:u w:val="single"/>
        </w:rPr>
        <w:t>pecifieke uitzondering voor recreatie/terrein (campings e.d.)</w:t>
      </w:r>
    </w:p>
    <w:p w14:paraId="07EAF185" w14:textId="77777777" w:rsidR="003E6BF8" w:rsidRPr="00B77CC2" w:rsidRDefault="003E6BF8" w:rsidP="003E6BF8">
      <w:r w:rsidRPr="00B77CC2">
        <w:t xml:space="preserve">Artikel 8.4 </w:t>
      </w:r>
      <w:proofErr w:type="spellStart"/>
      <w:r w:rsidRPr="00B77CC2">
        <w:t>Rgb</w:t>
      </w:r>
      <w:proofErr w:type="spellEnd"/>
      <w:r w:rsidRPr="00B77CC2">
        <w:t xml:space="preserve"> bepaalt de terreinen waarvoor de uitzondering geldt:</w:t>
      </w:r>
    </w:p>
    <w:p w14:paraId="5B402726" w14:textId="1F6A40CC" w:rsidR="003E6BF8" w:rsidRPr="00B77CC2" w:rsidRDefault="001E276A" w:rsidP="003E6BF8">
      <w:r>
        <w:lastRenderedPageBreak/>
        <w:t>“</w:t>
      </w:r>
      <w:r w:rsidR="003E6BF8" w:rsidRPr="00B77CC2">
        <w:t>Het eerste lid van artikel 27b van het besluit is niet van toepassing op het gerichte gebruik van gewasbeschermingsmiddelen op de volgende terreinen:</w:t>
      </w:r>
      <w:r w:rsidR="003E6BF8" w:rsidRPr="00B77CC2">
        <w:br/>
        <w:t>a. sportvelden voor het in georganiseerd verband beoefenen van sport in de open lucht, voor zover … (</w:t>
      </w:r>
      <w:proofErr w:type="spellStart"/>
      <w:r w:rsidR="003E6BF8" w:rsidRPr="00B77CC2">
        <w:t>etc</w:t>
      </w:r>
      <w:proofErr w:type="spellEnd"/>
      <w:r w:rsidR="003E6BF8" w:rsidRPr="00B77CC2">
        <w:t>)</w:t>
      </w:r>
      <w:r w:rsidR="003E6BF8" w:rsidRPr="00B77CC2">
        <w:br/>
      </w:r>
      <w:r w:rsidR="003E6BF8" w:rsidRPr="005C7520">
        <w:rPr>
          <w:highlight w:val="yellow"/>
        </w:rPr>
        <w:t>b. niet door de overheid beheerde recreatieterreinen, voor zover het betreft:</w:t>
      </w:r>
      <w:r w:rsidR="003E6BF8" w:rsidRPr="00B77CC2">
        <w:br/>
      </w:r>
      <w:r w:rsidR="003E6BF8" w:rsidRPr="00B77CC2">
        <w:t> </w:t>
      </w:r>
      <w:r w:rsidR="003E6BF8" w:rsidRPr="00B77CC2">
        <w:rPr>
          <w:highlight w:val="yellow"/>
        </w:rPr>
        <w:t>1° bungalowterreinen;</w:t>
      </w:r>
      <w:r w:rsidR="003E6BF8" w:rsidRPr="00B77CC2">
        <w:rPr>
          <w:highlight w:val="yellow"/>
        </w:rPr>
        <w:br/>
      </w:r>
      <w:r w:rsidR="003E6BF8" w:rsidRPr="00B77CC2">
        <w:rPr>
          <w:highlight w:val="yellow"/>
        </w:rPr>
        <w:t> </w:t>
      </w:r>
      <w:r w:rsidR="003E6BF8" w:rsidRPr="00B77CC2">
        <w:rPr>
          <w:highlight w:val="yellow"/>
        </w:rPr>
        <w:t xml:space="preserve">2° </w:t>
      </w:r>
      <w:proofErr w:type="spellStart"/>
      <w:r w:rsidR="003E6BF8" w:rsidRPr="00B77CC2">
        <w:rPr>
          <w:highlight w:val="yellow"/>
        </w:rPr>
        <w:t>groepsaccommodaties</w:t>
      </w:r>
      <w:proofErr w:type="spellEnd"/>
      <w:r w:rsidR="003E6BF8" w:rsidRPr="00B77CC2">
        <w:rPr>
          <w:highlight w:val="yellow"/>
        </w:rPr>
        <w:t>;</w:t>
      </w:r>
      <w:r w:rsidR="003E6BF8" w:rsidRPr="00B77CC2">
        <w:rPr>
          <w:highlight w:val="yellow"/>
        </w:rPr>
        <w:br/>
      </w:r>
      <w:r w:rsidR="003E6BF8" w:rsidRPr="00B77CC2">
        <w:rPr>
          <w:highlight w:val="yellow"/>
        </w:rPr>
        <w:t> </w:t>
      </w:r>
      <w:r w:rsidR="003E6BF8" w:rsidRPr="00B77CC2">
        <w:rPr>
          <w:highlight w:val="yellow"/>
        </w:rPr>
        <w:t>3° campingterreinen;</w:t>
      </w:r>
      <w:r w:rsidR="003E6BF8" w:rsidRPr="00B77CC2">
        <w:rPr>
          <w:highlight w:val="yellow"/>
        </w:rPr>
        <w:br/>
      </w:r>
      <w:r w:rsidR="003E6BF8" w:rsidRPr="00B77CC2">
        <w:rPr>
          <w:highlight w:val="yellow"/>
        </w:rPr>
        <w:t> </w:t>
      </w:r>
      <w:r w:rsidR="003E6BF8" w:rsidRPr="00B77CC2">
        <w:rPr>
          <w:highlight w:val="yellow"/>
        </w:rPr>
        <w:t>4° jachthavens, niet zijnde de aanlegsteigers in of nabij het oppervlaktewater;</w:t>
      </w:r>
      <w:r w:rsidR="003E6BF8" w:rsidRPr="00B77CC2">
        <w:br/>
        <w:t>c. terreinen met een specifieke botanische waarde … excl. verharde oppervlakken</w:t>
      </w:r>
      <w:r>
        <w:t>”</w:t>
      </w:r>
      <w:r w:rsidR="003E6BF8" w:rsidRPr="00B77CC2">
        <w:t xml:space="preserve">. </w:t>
      </w:r>
    </w:p>
    <w:p w14:paraId="07E5C8E3" w14:textId="4A448BBB" w:rsidR="003E6BF8" w:rsidRPr="00B77CC2" w:rsidRDefault="001E276A" w:rsidP="003E6BF8">
      <w:pPr>
        <w:rPr>
          <w:b/>
          <w:bCs/>
          <w:u w:val="single"/>
        </w:rPr>
      </w:pPr>
      <w:r w:rsidRPr="001E276A">
        <w:rPr>
          <w:b/>
          <w:bCs/>
          <w:u w:val="single"/>
        </w:rPr>
        <w:t>Er zijn s</w:t>
      </w:r>
      <w:r w:rsidR="003E6BF8" w:rsidRPr="00B77CC2">
        <w:rPr>
          <w:b/>
          <w:bCs/>
          <w:u w:val="single"/>
        </w:rPr>
        <w:t>trikte voorwaarden voor toepassing</w:t>
      </w:r>
    </w:p>
    <w:p w14:paraId="15585FCB" w14:textId="0AFD3C15" w:rsidR="003E6BF8" w:rsidRPr="00B77CC2" w:rsidRDefault="003E6BF8" w:rsidP="003E6BF8">
      <w:r w:rsidRPr="00B77CC2">
        <w:t xml:space="preserve">Wanneer een terrein onder de uitzondering </w:t>
      </w:r>
      <w:r w:rsidR="001E276A">
        <w:t xml:space="preserve">van art. 8.4 </w:t>
      </w:r>
      <w:proofErr w:type="spellStart"/>
      <w:r w:rsidR="001E276A">
        <w:t>Rgb</w:t>
      </w:r>
      <w:proofErr w:type="spellEnd"/>
      <w:r w:rsidR="001E276A">
        <w:t xml:space="preserve"> </w:t>
      </w:r>
      <w:r w:rsidRPr="00B77CC2">
        <w:t xml:space="preserve">valt, gelden de volgende belangrijke voorwaarden volgens artikel 8.5 </w:t>
      </w:r>
      <w:proofErr w:type="spellStart"/>
      <w:r w:rsidRPr="00B77CC2">
        <w:t>Rgb</w:t>
      </w:r>
      <w:proofErr w:type="spellEnd"/>
      <w:r w:rsidRPr="00B77CC2">
        <w:t xml:space="preserve"> en de toelichting van de toezichthouder </w:t>
      </w:r>
    </w:p>
    <w:p w14:paraId="7A5FB27A" w14:textId="02A3883E" w:rsidR="003E6BF8" w:rsidRPr="00B77CC2" w:rsidRDefault="003E6BF8" w:rsidP="003E6BF8">
      <w:pPr>
        <w:numPr>
          <w:ilvl w:val="0"/>
          <w:numId w:val="10"/>
        </w:numPr>
      </w:pPr>
      <w:r w:rsidRPr="00B77CC2">
        <w:t xml:space="preserve">Artikel 8.5 lid 1 </w:t>
      </w:r>
      <w:proofErr w:type="spellStart"/>
      <w:r w:rsidRPr="00B77CC2">
        <w:t>Rgb</w:t>
      </w:r>
      <w:proofErr w:type="spellEnd"/>
      <w:r w:rsidRPr="00B77CC2">
        <w:t xml:space="preserve">: “In de gebieden en omstandigheden, bedoeld in de artikelen 8.2 tot en met 8.4, wordt gebruik gemaakt van een gewasbeschermingsmiddel met een laag risico of een biologisch gewasbeschermingsmiddel, voor zover deze voor het desbetreffende gebruik beschikbaar zijn.” </w:t>
      </w:r>
    </w:p>
    <w:p w14:paraId="444EFA51" w14:textId="746216FA" w:rsidR="003E6BF8" w:rsidRPr="00B77CC2" w:rsidRDefault="003E6BF8" w:rsidP="003E6BF8">
      <w:pPr>
        <w:numPr>
          <w:ilvl w:val="0"/>
          <w:numId w:val="10"/>
        </w:numPr>
      </w:pPr>
      <w:r w:rsidRPr="00B77CC2">
        <w:t xml:space="preserve">Artikel 8.5 lid 2 </w:t>
      </w:r>
      <w:proofErr w:type="spellStart"/>
      <w:r w:rsidRPr="00B77CC2">
        <w:t>Rgb</w:t>
      </w:r>
      <w:proofErr w:type="spellEnd"/>
      <w:r w:rsidRPr="00B77CC2">
        <w:t xml:space="preserve">: “In de gebieden en omstandigheden, bedoeld in de artikelen 8.2 tot en met 8.4 wordt geen gebruik gemaakt van gewasbeschermingsmiddelen die een of meer prioritaire gevaarlijke stoffen bevatten.” </w:t>
      </w:r>
    </w:p>
    <w:p w14:paraId="24E5C2FB" w14:textId="1DA35A76" w:rsidR="003E6BF8" w:rsidRPr="00B77CC2" w:rsidRDefault="003E6BF8" w:rsidP="003E6BF8">
      <w:pPr>
        <w:numPr>
          <w:ilvl w:val="0"/>
          <w:numId w:val="10"/>
        </w:numPr>
      </w:pPr>
      <w:r w:rsidRPr="00B77CC2">
        <w:t xml:space="preserve">De toezichthouder (NVWA) geeft aan dat gebruikers van deze uitzonderingsgevallen beschikken over een bewijs van vakbekwaamheid/licentie wanneer professionele gewasbeschermingsmiddelen worden toegepast. </w:t>
      </w:r>
    </w:p>
    <w:p w14:paraId="1D75CA96" w14:textId="1ED21D30" w:rsidR="003E6BF8" w:rsidRPr="00B77CC2" w:rsidRDefault="003E6BF8" w:rsidP="003E6BF8">
      <w:pPr>
        <w:numPr>
          <w:ilvl w:val="0"/>
          <w:numId w:val="10"/>
        </w:numPr>
      </w:pPr>
      <w:r w:rsidRPr="00B77CC2">
        <w:t xml:space="preserve">Verder: de toepassing moet gericht zijn (dus niet algemeen spuiten zonder aanleiding), en moet plaatsvinden in de daarvoor aangewezen situatie (sport/recreatieterreinen, bungalowterreinen, campingterrein). </w:t>
      </w:r>
    </w:p>
    <w:p w14:paraId="79E15951" w14:textId="77777777" w:rsidR="001E276A" w:rsidRDefault="003E6BF8" w:rsidP="001E276A">
      <w:pPr>
        <w:tabs>
          <w:tab w:val="num" w:pos="720"/>
        </w:tabs>
      </w:pPr>
      <w:r w:rsidRPr="00B77CC2">
        <w:t xml:space="preserve">Het uitgangspunt blijft dat gebruik buiten de landbouw zoveel mogelijk wordt voorkomen — de uitzondering geldt dus alleen waar andere methoden onvoldoende zijn of het terrein van zodanige aard is dat gebruik gerechtvaardigd is. </w:t>
      </w:r>
    </w:p>
    <w:p w14:paraId="4CF20102" w14:textId="77777777" w:rsidR="00B77CC2" w:rsidRPr="00B77CC2" w:rsidRDefault="00B77CC2" w:rsidP="00B77CC2">
      <w:pPr>
        <w:rPr>
          <w:b/>
          <w:bCs/>
          <w:u w:val="single"/>
        </w:rPr>
      </w:pPr>
      <w:r w:rsidRPr="00B77CC2">
        <w:rPr>
          <w:b/>
          <w:bCs/>
          <w:u w:val="single"/>
        </w:rPr>
        <w:t>Praktische betekenis</w:t>
      </w:r>
    </w:p>
    <w:p w14:paraId="7B1D7A15" w14:textId="63FDAD37" w:rsidR="00B77CC2" w:rsidRPr="00B77CC2" w:rsidRDefault="00B77CC2" w:rsidP="00B77CC2">
      <w:r w:rsidRPr="00B77CC2">
        <w:t xml:space="preserve">In concrete termen betekent dit voor bijvoorbeeld een </w:t>
      </w:r>
      <w:r w:rsidR="001E276A">
        <w:t>recreatieterreinen en jachthavens</w:t>
      </w:r>
      <w:r w:rsidRPr="00B77CC2">
        <w:t>:</w:t>
      </w:r>
    </w:p>
    <w:p w14:paraId="34E183BF" w14:textId="77777777" w:rsidR="00B77CC2" w:rsidRPr="00B77CC2" w:rsidRDefault="00B77CC2" w:rsidP="00B77CC2">
      <w:pPr>
        <w:numPr>
          <w:ilvl w:val="0"/>
          <w:numId w:val="11"/>
        </w:numPr>
      </w:pPr>
      <w:r w:rsidRPr="00B77CC2">
        <w:t>Het terrein moet vallen onder “campingterrein” zoals vermeld in artikel 8.4 lid b onder 3°.</w:t>
      </w:r>
    </w:p>
    <w:p w14:paraId="4A8803A3" w14:textId="77777777" w:rsidR="00B77CC2" w:rsidRPr="00B77CC2" w:rsidRDefault="00B77CC2" w:rsidP="00B77CC2">
      <w:pPr>
        <w:numPr>
          <w:ilvl w:val="0"/>
          <w:numId w:val="11"/>
        </w:numPr>
      </w:pPr>
      <w:r w:rsidRPr="00B77CC2">
        <w:t>Het gebruik moet gerelateerd zijn aan het onderhoud van dat recreatieterrein — niet zomaar op privétuinen of openbare verhardingen.</w:t>
      </w:r>
    </w:p>
    <w:p w14:paraId="5F006878" w14:textId="77777777" w:rsidR="00B77CC2" w:rsidRPr="00B77CC2" w:rsidRDefault="00B77CC2" w:rsidP="00B77CC2">
      <w:pPr>
        <w:numPr>
          <w:ilvl w:val="0"/>
          <w:numId w:val="11"/>
        </w:numPr>
      </w:pPr>
      <w:r w:rsidRPr="00B77CC2">
        <w:lastRenderedPageBreak/>
        <w:t>Er moet gekozen zijn voor een middel met laag risico of biologisch — een zwaar middel met prioritaire gevaarlijke stof is uitgesloten.</w:t>
      </w:r>
    </w:p>
    <w:p w14:paraId="2DB49EC8" w14:textId="77777777" w:rsidR="00B77CC2" w:rsidRPr="00B77CC2" w:rsidRDefault="00B77CC2" w:rsidP="00B77CC2">
      <w:pPr>
        <w:numPr>
          <w:ilvl w:val="0"/>
          <w:numId w:val="11"/>
        </w:numPr>
      </w:pPr>
      <w:r w:rsidRPr="00B77CC2">
        <w:t>De gebruiker moet vakbekwaam zijn (professioneel gebruiker) als het een professioneel middel betreft.</w:t>
      </w:r>
    </w:p>
    <w:p w14:paraId="053C3AAC" w14:textId="77777777" w:rsidR="00B77CC2" w:rsidRPr="00B77CC2" w:rsidRDefault="00B77CC2" w:rsidP="00B77CC2">
      <w:pPr>
        <w:numPr>
          <w:ilvl w:val="0"/>
          <w:numId w:val="11"/>
        </w:numPr>
      </w:pPr>
      <w:r w:rsidRPr="00B77CC2">
        <w:t>Het gebruik moet gericht zijn (bijvoorbeeld op specifiek onkruid of plantsoort) — niet generiek “alles even spuiten”.</w:t>
      </w:r>
    </w:p>
    <w:p w14:paraId="72A38E0E" w14:textId="77777777" w:rsidR="00B77CC2" w:rsidRPr="00B77CC2" w:rsidRDefault="00B77CC2" w:rsidP="00B77CC2">
      <w:pPr>
        <w:numPr>
          <w:ilvl w:val="0"/>
          <w:numId w:val="11"/>
        </w:numPr>
      </w:pPr>
      <w:r w:rsidRPr="00B77CC2">
        <w:t>Het terreinbeheer moet kunnen aantonen waarom alternatieve methoden (machinaal onkruid verwijderen, handmatig schoffelen, etc.) onvoldoende waren — want de uitzondering is niet bedoeld als vrijbrief.</w:t>
      </w:r>
    </w:p>
    <w:p w14:paraId="21F3666D" w14:textId="77777777" w:rsidR="00EF1149" w:rsidRDefault="00EF1149"/>
    <w:sectPr w:rsidR="00EF11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AD0"/>
    <w:multiLevelType w:val="multilevel"/>
    <w:tmpl w:val="F1FA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55D23"/>
    <w:multiLevelType w:val="multilevel"/>
    <w:tmpl w:val="8EA2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C73CA5"/>
    <w:multiLevelType w:val="multilevel"/>
    <w:tmpl w:val="959E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A778E"/>
    <w:multiLevelType w:val="multilevel"/>
    <w:tmpl w:val="8B4A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361DD6"/>
    <w:multiLevelType w:val="multilevel"/>
    <w:tmpl w:val="C004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0D3D7C"/>
    <w:multiLevelType w:val="multilevel"/>
    <w:tmpl w:val="1EFAE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0A2A08"/>
    <w:multiLevelType w:val="multilevel"/>
    <w:tmpl w:val="F3C465C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84750"/>
    <w:multiLevelType w:val="multilevel"/>
    <w:tmpl w:val="F40AE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3D2FC8"/>
    <w:multiLevelType w:val="multilevel"/>
    <w:tmpl w:val="99D8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5D7FD4"/>
    <w:multiLevelType w:val="multilevel"/>
    <w:tmpl w:val="56CA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870EF4"/>
    <w:multiLevelType w:val="multilevel"/>
    <w:tmpl w:val="B82C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FF3B55"/>
    <w:multiLevelType w:val="multilevel"/>
    <w:tmpl w:val="BB7E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8079045">
    <w:abstractNumId w:val="7"/>
  </w:num>
  <w:num w:numId="2" w16cid:durableId="1137600219">
    <w:abstractNumId w:val="4"/>
  </w:num>
  <w:num w:numId="3" w16cid:durableId="2128348814">
    <w:abstractNumId w:val="5"/>
  </w:num>
  <w:num w:numId="4" w16cid:durableId="976103837">
    <w:abstractNumId w:val="2"/>
  </w:num>
  <w:num w:numId="5" w16cid:durableId="165020560">
    <w:abstractNumId w:val="3"/>
  </w:num>
  <w:num w:numId="6" w16cid:durableId="1655328231">
    <w:abstractNumId w:val="11"/>
  </w:num>
  <w:num w:numId="7" w16cid:durableId="186137153">
    <w:abstractNumId w:val="10"/>
  </w:num>
  <w:num w:numId="8" w16cid:durableId="41878192">
    <w:abstractNumId w:val="1"/>
  </w:num>
  <w:num w:numId="9" w16cid:durableId="2037853865">
    <w:abstractNumId w:val="8"/>
  </w:num>
  <w:num w:numId="10" w16cid:durableId="20471086">
    <w:abstractNumId w:val="9"/>
  </w:num>
  <w:num w:numId="11" w16cid:durableId="2061592837">
    <w:abstractNumId w:val="0"/>
  </w:num>
  <w:num w:numId="12" w16cid:durableId="9447258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C2"/>
    <w:rsid w:val="001E276A"/>
    <w:rsid w:val="003E6BF8"/>
    <w:rsid w:val="004F5DA9"/>
    <w:rsid w:val="005C7520"/>
    <w:rsid w:val="0068779D"/>
    <w:rsid w:val="0080799F"/>
    <w:rsid w:val="008431C9"/>
    <w:rsid w:val="00B175AB"/>
    <w:rsid w:val="00B77CC2"/>
    <w:rsid w:val="00E50D35"/>
    <w:rsid w:val="00EF1149"/>
    <w:rsid w:val="00F317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B46FD"/>
  <w15:chartTrackingRefBased/>
  <w15:docId w15:val="{799ED578-F938-45D8-AB53-AEB00A35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7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7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7C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7C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7C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7C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7C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7C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7C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7C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7C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7C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7C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7C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7C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7C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7C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7CC2"/>
    <w:rPr>
      <w:rFonts w:eastAsiaTheme="majorEastAsia" w:cstheme="majorBidi"/>
      <w:color w:val="272727" w:themeColor="text1" w:themeTint="D8"/>
    </w:rPr>
  </w:style>
  <w:style w:type="paragraph" w:styleId="Titel">
    <w:name w:val="Title"/>
    <w:basedOn w:val="Standaard"/>
    <w:next w:val="Standaard"/>
    <w:link w:val="TitelChar"/>
    <w:uiPriority w:val="10"/>
    <w:qFormat/>
    <w:rsid w:val="00B77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7C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7C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7C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7C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7CC2"/>
    <w:rPr>
      <w:i/>
      <w:iCs/>
      <w:color w:val="404040" w:themeColor="text1" w:themeTint="BF"/>
    </w:rPr>
  </w:style>
  <w:style w:type="paragraph" w:styleId="Lijstalinea">
    <w:name w:val="List Paragraph"/>
    <w:basedOn w:val="Standaard"/>
    <w:uiPriority w:val="34"/>
    <w:qFormat/>
    <w:rsid w:val="00B77CC2"/>
    <w:pPr>
      <w:ind w:left="720"/>
      <w:contextualSpacing/>
    </w:pPr>
  </w:style>
  <w:style w:type="character" w:styleId="Intensievebenadrukking">
    <w:name w:val="Intense Emphasis"/>
    <w:basedOn w:val="Standaardalinea-lettertype"/>
    <w:uiPriority w:val="21"/>
    <w:qFormat/>
    <w:rsid w:val="00B77CC2"/>
    <w:rPr>
      <w:i/>
      <w:iCs/>
      <w:color w:val="0F4761" w:themeColor="accent1" w:themeShade="BF"/>
    </w:rPr>
  </w:style>
  <w:style w:type="paragraph" w:styleId="Duidelijkcitaat">
    <w:name w:val="Intense Quote"/>
    <w:basedOn w:val="Standaard"/>
    <w:next w:val="Standaard"/>
    <w:link w:val="DuidelijkcitaatChar"/>
    <w:uiPriority w:val="30"/>
    <w:qFormat/>
    <w:rsid w:val="00B77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7CC2"/>
    <w:rPr>
      <w:i/>
      <w:iCs/>
      <w:color w:val="0F4761" w:themeColor="accent1" w:themeShade="BF"/>
    </w:rPr>
  </w:style>
  <w:style w:type="character" w:styleId="Intensieveverwijzing">
    <w:name w:val="Intense Reference"/>
    <w:basedOn w:val="Standaardalinea-lettertype"/>
    <w:uiPriority w:val="32"/>
    <w:qFormat/>
    <w:rsid w:val="00B77CC2"/>
    <w:rPr>
      <w:b/>
      <w:bCs/>
      <w:smallCaps/>
      <w:color w:val="0F4761" w:themeColor="accent1" w:themeShade="BF"/>
      <w:spacing w:val="5"/>
    </w:rPr>
  </w:style>
  <w:style w:type="character" w:styleId="Hyperlink">
    <w:name w:val="Hyperlink"/>
    <w:basedOn w:val="Standaardalinea-lettertype"/>
    <w:uiPriority w:val="99"/>
    <w:unhideWhenUsed/>
    <w:rsid w:val="00B77CC2"/>
    <w:rPr>
      <w:color w:val="467886" w:themeColor="hyperlink"/>
      <w:u w:val="single"/>
    </w:rPr>
  </w:style>
  <w:style w:type="character" w:styleId="Onopgelostemelding">
    <w:name w:val="Unresolved Mention"/>
    <w:basedOn w:val="Standaardalinea-lettertype"/>
    <w:uiPriority w:val="99"/>
    <w:semiHidden/>
    <w:unhideWhenUsed/>
    <w:rsid w:val="00B77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bsites.wur.nl/nl/home-7/wet-en-regelgeving.htm?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4290</Characters>
  <Application>Microsoft Office Word</Application>
  <DocSecurity>4</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Tap</dc:creator>
  <cp:keywords/>
  <dc:description/>
  <cp:lastModifiedBy>Liane Jansen</cp:lastModifiedBy>
  <cp:revision>2</cp:revision>
  <dcterms:created xsi:type="dcterms:W3CDTF">2025-10-23T11:28:00Z</dcterms:created>
  <dcterms:modified xsi:type="dcterms:W3CDTF">2025-10-23T11:28:00Z</dcterms:modified>
</cp:coreProperties>
</file>